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D402" w14:textId="08A18C2C" w:rsidR="00BD5DA4" w:rsidRDefault="00937C9C" w:rsidP="00B271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</w:t>
      </w:r>
      <w:r w:rsidR="005264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5DA4" w:rsidRPr="00BD5DA4">
        <w:rPr>
          <w:rFonts w:ascii="Times New Roman" w:eastAsia="Times New Roman" w:hAnsi="Times New Roman" w:cs="Times New Roman"/>
          <w:lang w:eastAsia="pl-PL"/>
        </w:rPr>
        <w:t>B.33</w:t>
      </w:r>
      <w:r w:rsidR="00F569AE">
        <w:rPr>
          <w:rFonts w:ascii="Times New Roman" w:eastAsia="Times New Roman" w:hAnsi="Times New Roman" w:cs="Times New Roman"/>
          <w:lang w:eastAsia="pl-PL"/>
        </w:rPr>
        <w:t>.</w:t>
      </w:r>
    </w:p>
    <w:p w14:paraId="32F1162B" w14:textId="77777777" w:rsidR="00B27143" w:rsidRPr="00BD5DA4" w:rsidRDefault="00B27143" w:rsidP="00B271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121523" w14:textId="3A4BA292" w:rsidR="009D7AE1" w:rsidRPr="009D7AE1" w:rsidRDefault="009D7AE1" w:rsidP="009D7AE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LECZENIE</w:t>
      </w:r>
      <w:r w:rsidR="005264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43F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CHORYCH</w:t>
      </w:r>
      <w:r w:rsidR="005264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43F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</w:t>
      </w:r>
      <w:r w:rsidR="005264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85B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AKTYWN</w:t>
      </w:r>
      <w:r w:rsidR="00543F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="005264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85B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POSTACI</w:t>
      </w:r>
      <w:r w:rsidR="00543F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="005264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REUMATOIDALNEGO</w:t>
      </w:r>
      <w:r w:rsidR="005264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ZAPALENIA</w:t>
      </w:r>
      <w:r w:rsidR="005264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STAWÓW</w:t>
      </w:r>
      <w:r w:rsidR="005264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5264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MŁODZIEŃCZEGO</w:t>
      </w:r>
      <w:r w:rsidR="005264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IDIOPATYCZNEGO</w:t>
      </w:r>
      <w:r w:rsidR="005264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ZAPALENIA</w:t>
      </w:r>
      <w:r w:rsidR="005264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STAWÓW</w:t>
      </w:r>
      <w:r w:rsidR="005264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(ICD-10</w:t>
      </w:r>
      <w:r w:rsidR="00FE34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="005264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M05,</w:t>
      </w:r>
      <w:r w:rsidR="005264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M06,</w:t>
      </w:r>
      <w:r w:rsidR="005264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D7A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M08)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9"/>
        <w:gridCol w:w="4294"/>
        <w:gridCol w:w="4295"/>
      </w:tblGrid>
      <w:tr w:rsidR="009D7AE1" w:rsidRPr="00B27143" w14:paraId="5F09B8FE" w14:textId="77777777" w:rsidTr="00CB2AC0">
        <w:trPr>
          <w:trHeight w:val="567"/>
        </w:trPr>
        <w:tc>
          <w:tcPr>
            <w:tcW w:w="0" w:type="auto"/>
            <w:gridSpan w:val="3"/>
            <w:vAlign w:val="center"/>
          </w:tcPr>
          <w:p w14:paraId="61C1B355" w14:textId="52A26297" w:rsidR="009D7AE1" w:rsidRPr="00B27143" w:rsidRDefault="009D7AE1" w:rsidP="00B2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ŚWIADCZENIA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GWARANTOWANEGO</w:t>
            </w:r>
          </w:p>
        </w:tc>
      </w:tr>
      <w:tr w:rsidR="009D7AE1" w:rsidRPr="00B27143" w14:paraId="458D3A4B" w14:textId="77777777" w:rsidTr="00FE3490">
        <w:trPr>
          <w:trHeight w:val="567"/>
        </w:trPr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14:paraId="130ABE72" w14:textId="77777777" w:rsidR="009D7AE1" w:rsidRPr="00B27143" w:rsidRDefault="009D7AE1" w:rsidP="00B2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4294" w:type="dxa"/>
            <w:tcBorders>
              <w:bottom w:val="single" w:sz="4" w:space="0" w:color="auto"/>
            </w:tcBorders>
            <w:vAlign w:val="center"/>
          </w:tcPr>
          <w:p w14:paraId="1E38CA8C" w14:textId="54D677BA" w:rsidR="00CB2AC0" w:rsidRPr="00B27143" w:rsidRDefault="009D7AE1" w:rsidP="00B2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SCHEMAT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DAWKOWANIA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LEKÓW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03BF1A01" w14:textId="43A42EDA" w:rsidR="009D7AE1" w:rsidRPr="00B27143" w:rsidRDefault="009D7AE1" w:rsidP="00B2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PROGRAMIE</w:t>
            </w:r>
          </w:p>
        </w:tc>
        <w:tc>
          <w:tcPr>
            <w:tcW w:w="42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55543B" w14:textId="51D883F0" w:rsidR="009D7AE1" w:rsidRPr="00B27143" w:rsidRDefault="009D7AE1" w:rsidP="00B27143">
            <w:pPr>
              <w:spacing w:after="0" w:line="240" w:lineRule="auto"/>
              <w:ind w:left="35" w:hanging="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BADANIA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DIAGNOSTYCZNE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WYKONYWANE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RAMACH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</w:tc>
      </w:tr>
      <w:tr w:rsidR="009D7AE1" w:rsidRPr="00B27143" w14:paraId="2BAFC583" w14:textId="77777777" w:rsidTr="00CB2AC0">
        <w:trPr>
          <w:trHeight w:val="567"/>
        </w:trPr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022770" w14:textId="7C8914D7" w:rsidR="009D7AE1" w:rsidRPr="00B27143" w:rsidRDefault="009D7AE1" w:rsidP="00B2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REUMATOIDALNE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ZAPALENIE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STAWÓW</w:t>
            </w:r>
          </w:p>
        </w:tc>
      </w:tr>
      <w:tr w:rsidR="009D7AE1" w:rsidRPr="00B27143" w14:paraId="1285A49E" w14:textId="77777777" w:rsidTr="00FE349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8F38E" w14:textId="16D084BE" w:rsidR="009D7AE1" w:rsidRPr="00F650EC" w:rsidRDefault="009D7AE1" w:rsidP="00F650EC">
            <w:pPr>
              <w:numPr>
                <w:ilvl w:val="0"/>
                <w:numId w:val="19"/>
              </w:numPr>
              <w:spacing w:before="12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kwalifikacji</w:t>
            </w:r>
          </w:p>
          <w:p w14:paraId="50E45491" w14:textId="3C9AAF86" w:rsidR="009D7AE1" w:rsidRPr="00F650EC" w:rsidRDefault="009D7AE1" w:rsidP="00F650EC">
            <w:pPr>
              <w:widowControl w:val="0"/>
              <w:numPr>
                <w:ilvl w:val="3"/>
                <w:numId w:val="1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pośrednictwem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SMPT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powoływany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Zdrowia.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aktualizacji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SMPT,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pośrednictwem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SMPT.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zaznaczone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powyżej.</w:t>
            </w:r>
          </w:p>
          <w:p w14:paraId="628D318A" w14:textId="5FA05C02" w:rsidR="009D7AE1" w:rsidRPr="00F650EC" w:rsidRDefault="009D7AE1" w:rsidP="00F650EC">
            <w:pPr>
              <w:numPr>
                <w:ilvl w:val="3"/>
                <w:numId w:val="19"/>
              </w:numPr>
              <w:spacing w:after="60"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1439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1439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F228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F228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upadacytynibem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rozpoznaniem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RZS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anakinrą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kwalifikuje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się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wyłącznie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pacjentów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rozpoznaniem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chorob</w:t>
            </w:r>
            <w:r w:rsidR="00096338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y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Stilla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dorosłych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54488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(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AOSD),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których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nastąpiło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niepowodzenie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najmniej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dwoma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lekami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modyfikującymi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przebieg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choroby/lekami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immunosupresyjnymi,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takimi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jak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metotreksat,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leflunomid,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sulfasalazyna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leki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antymalaryczne,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obowiązującymi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zaleceniami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EULAR,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których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każdy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zastosowany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był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najmniej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3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miesiące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monoterapii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łączonej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(w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tym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niepowodzeniu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metotreksatem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postaci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doustnej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podskórnej)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niepowodzeniu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metotreksatem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postaci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doustnej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podskórnej,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która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była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zastosowana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najmniej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3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miesiące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pacjentów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występowaniem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czynników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złej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prognozy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obowiązującymi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rekomendacjami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6956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EULAR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pacjentów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chorobą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Stilla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dorosłych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(AOSD)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także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niepowodzeniu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glikokortykosteroidami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(GKS)</w:t>
            </w:r>
            <w:r w:rsidRPr="00F650EC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5DB2666E" w14:textId="3B83EF98" w:rsidR="009D7AE1" w:rsidRPr="00F650EC" w:rsidRDefault="009D7AE1" w:rsidP="00F650EC">
            <w:pPr>
              <w:numPr>
                <w:ilvl w:val="4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udokumentowaną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badań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lekarskich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1-3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miesięcy.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spełnione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poniższych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kryteriów: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D60B3DC" w14:textId="1F24FA40" w:rsidR="00A857A0" w:rsidRPr="00F650EC" w:rsidRDefault="009D7AE1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większa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0106800" w14:textId="0BB1D0E3" w:rsidR="009D7AE1" w:rsidRPr="00F650EC" w:rsidRDefault="009D7AE1" w:rsidP="00F650E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9B1E4F8" w14:textId="2F407C58" w:rsidR="00A857A0" w:rsidRPr="00F650EC" w:rsidRDefault="009D7AE1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większa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3,7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07279E7" w14:textId="097DBF60" w:rsidR="009D7AE1" w:rsidRPr="00F650EC" w:rsidRDefault="009D7AE1" w:rsidP="00F650E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6FBBB6D" w14:textId="648AFEE4" w:rsidR="00A857A0" w:rsidRPr="00F650EC" w:rsidRDefault="009D7AE1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SDAI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większa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2BB6BB6" w14:textId="18A9D922" w:rsidR="009D7AE1" w:rsidRPr="00F650EC" w:rsidRDefault="009D7AE1" w:rsidP="00F650E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5A9F7704" w14:textId="1892FD8F" w:rsidR="00405FB5" w:rsidRPr="00F650EC" w:rsidRDefault="009D7AE1" w:rsidP="00F650EC">
            <w:pPr>
              <w:numPr>
                <w:ilvl w:val="4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SDAI,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tj.:</w:t>
            </w:r>
          </w:p>
          <w:p w14:paraId="4EC38D62" w14:textId="7EC68881" w:rsidR="00A857A0" w:rsidRPr="00F650EC" w:rsidRDefault="009D7AE1" w:rsidP="00F650EC">
            <w:pPr>
              <w:pStyle w:val="Akapitzlist"/>
              <w:numPr>
                <w:ilvl w:val="5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05FB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3D7E2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horob</w:t>
            </w:r>
            <w:r w:rsidR="002B253E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Stilla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E2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dorosłych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05FB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3D7E2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AOS</w:t>
            </w:r>
            <w:r w:rsidR="00405FB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</w:t>
            </w:r>
            <w:r w:rsidR="0052643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</w:p>
          <w:p w14:paraId="712C60B9" w14:textId="7A41F0E5" w:rsidR="009D7AE1" w:rsidRPr="00F650EC" w:rsidRDefault="009D7AE1" w:rsidP="00F650E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733CC48C" w14:textId="5D12404F" w:rsidR="00A857A0" w:rsidRPr="00F650EC" w:rsidRDefault="009D7AE1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wtórną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amyloidozą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E87888D" w14:textId="6BAADA56" w:rsidR="009D7AE1" w:rsidRPr="00F650EC" w:rsidRDefault="009D7AE1" w:rsidP="00F650E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246D588" w14:textId="6597A217" w:rsidR="002550C4" w:rsidRPr="00F650EC" w:rsidRDefault="009D7AE1" w:rsidP="00F650EC">
            <w:pPr>
              <w:pStyle w:val="Akapitzlist"/>
              <w:numPr>
                <w:ilvl w:val="5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towarzyszącym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zapaleniem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053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naczyń</w:t>
            </w:r>
            <w:r w:rsidR="0035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zastrzeżeniem,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anakinrą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Stilla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dorosłych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(AOSD).</w:t>
            </w:r>
          </w:p>
          <w:p w14:paraId="310833A9" w14:textId="6FA0C5EE" w:rsidR="009D7AE1" w:rsidRPr="00F650EC" w:rsidRDefault="009D7AE1" w:rsidP="00F650EC">
            <w:pPr>
              <w:numPr>
                <w:ilvl w:val="3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konieczności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2a)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niniejszego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poddani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lekowych:</w:t>
            </w:r>
          </w:p>
          <w:p w14:paraId="22B298D0" w14:textId="1AA22134" w:rsidR="009D7AE1" w:rsidRPr="00F650EC" w:rsidRDefault="009D7AE1" w:rsidP="00F650EC">
            <w:pPr>
              <w:numPr>
                <w:ilvl w:val="4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jednym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A07B8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A07B8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baricytinbem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557" w:rsidRPr="00F650E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99B" w:rsidRPr="00F650EC">
              <w:rPr>
                <w:rFonts w:ascii="Times New Roman" w:hAnsi="Times New Roman" w:cs="Times New Roman"/>
                <w:sz w:val="20"/>
                <w:szCs w:val="20"/>
              </w:rPr>
              <w:t>upadacytynibem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anakinrą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których:</w:t>
            </w:r>
          </w:p>
          <w:p w14:paraId="1FE77CA1" w14:textId="1E39639F" w:rsidR="00A857A0" w:rsidRPr="00F650EC" w:rsidRDefault="009D7AE1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uczuleniowa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89D22CE" w14:textId="5B8A64D0" w:rsidR="009D7AE1" w:rsidRPr="00F650EC" w:rsidRDefault="009D7AE1" w:rsidP="00F650E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7F42419" w14:textId="0350FD76" w:rsidR="00A857A0" w:rsidRPr="00F650EC" w:rsidRDefault="009D7AE1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ustępują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F4CF7FF" w14:textId="2C3E509D" w:rsidR="009D7AE1" w:rsidRPr="00F650EC" w:rsidRDefault="005E1332" w:rsidP="00F650E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</w:t>
            </w:r>
          </w:p>
          <w:p w14:paraId="46D2F68F" w14:textId="1E7E8086" w:rsidR="009D7AE1" w:rsidRPr="00F650EC" w:rsidRDefault="009D7AE1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definicją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RZS).</w:t>
            </w:r>
          </w:p>
          <w:p w14:paraId="2649AEC8" w14:textId="7B35E29E" w:rsidR="009D7AE1" w:rsidRPr="00F650EC" w:rsidRDefault="009D7AE1" w:rsidP="00F650E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trzeciego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tylko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kiedy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odstawienia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były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nietolerancji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i/lub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uniknąć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stosując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alfa.</w:t>
            </w:r>
          </w:p>
          <w:p w14:paraId="73C2F888" w14:textId="1C6500C6" w:rsidR="009D7AE1" w:rsidRPr="00F650EC" w:rsidRDefault="009D7AE1" w:rsidP="00F650EC">
            <w:pPr>
              <w:numPr>
                <w:ilvl w:val="4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których:</w:t>
            </w:r>
          </w:p>
          <w:p w14:paraId="20C0C343" w14:textId="746A8366" w:rsidR="00A857A0" w:rsidRPr="00F650EC" w:rsidRDefault="009D7AE1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uczuleniowa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9C57D5C" w14:textId="6A524659" w:rsidR="009D7AE1" w:rsidRPr="00F650EC" w:rsidRDefault="009D7AE1" w:rsidP="00F650E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811B8FC" w14:textId="27F66F39" w:rsidR="00A857A0" w:rsidRPr="00F650EC" w:rsidRDefault="009D7AE1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ustępują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</w:p>
          <w:p w14:paraId="4866E0F4" w14:textId="3AF26F9E" w:rsidR="009D7AE1" w:rsidRPr="00F650EC" w:rsidRDefault="009D7AE1" w:rsidP="00F650E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2DD0C2C3" w14:textId="0E19CF95" w:rsidR="009D7AE1" w:rsidRPr="00F650EC" w:rsidRDefault="009D7AE1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definicją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RZS).</w:t>
            </w:r>
          </w:p>
          <w:p w14:paraId="3CCC8FAD" w14:textId="42AEDE98" w:rsidR="009D7AE1" w:rsidRPr="00F650EC" w:rsidRDefault="009D7AE1" w:rsidP="00F650E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Kwalifikacja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wcześniejszym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dopiero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upływie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ostatniej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potencjalnego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korzyści.</w:t>
            </w:r>
          </w:p>
          <w:p w14:paraId="0EB0BBB7" w14:textId="02C6CEEB" w:rsidR="009D7AE1" w:rsidRPr="00F650EC" w:rsidRDefault="009D7AE1" w:rsidP="00F650EC">
            <w:pPr>
              <w:numPr>
                <w:ilvl w:val="3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konieczności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2a)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niniejszego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poddani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lekowych: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D1E031E" w14:textId="24247E59" w:rsidR="009D7AE1" w:rsidRPr="00F650EC" w:rsidRDefault="009D7AE1" w:rsidP="00F650EC">
            <w:pPr>
              <w:numPr>
                <w:ilvl w:val="4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trzema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9B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9B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9655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9655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upadacytynibem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anakinrą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których:</w:t>
            </w:r>
          </w:p>
          <w:p w14:paraId="778BF505" w14:textId="726CC2C0" w:rsidR="00A857A0" w:rsidRPr="00F650EC" w:rsidRDefault="009D7AE1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uczuleniowa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36A731B" w14:textId="0B2C3CFC" w:rsidR="009D7AE1" w:rsidRPr="00F650EC" w:rsidRDefault="009D7AE1" w:rsidP="00F650E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500491C" w14:textId="6FC1A9D9" w:rsidR="00A857A0" w:rsidRPr="00F650EC" w:rsidRDefault="009D7AE1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ustępują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5CED183" w14:textId="4F43BEEC" w:rsidR="009D7AE1" w:rsidRPr="00F650EC" w:rsidRDefault="009D7AE1" w:rsidP="00F650E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7A486E6B" w14:textId="6079B1F9" w:rsidR="009D7AE1" w:rsidRPr="00F650EC" w:rsidRDefault="009D7AE1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definicją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RZS);</w:t>
            </w:r>
          </w:p>
          <w:p w14:paraId="47C10B49" w14:textId="3B056E77" w:rsidR="009D7AE1" w:rsidRPr="00F650EC" w:rsidRDefault="009D7AE1" w:rsidP="00F650EC">
            <w:pPr>
              <w:numPr>
                <w:ilvl w:val="4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których:</w:t>
            </w:r>
          </w:p>
          <w:p w14:paraId="06831F75" w14:textId="5014DA75" w:rsidR="00A857A0" w:rsidRPr="00F650EC" w:rsidRDefault="009D7AE1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uczuleniowa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3DAD8A5" w14:textId="6608E2B8" w:rsidR="009D7AE1" w:rsidRPr="00F650EC" w:rsidRDefault="00F02D07" w:rsidP="00F650E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EEE4788" w14:textId="4C574128" w:rsidR="00A857A0" w:rsidRPr="00F650EC" w:rsidRDefault="009D7AE1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ustępują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DB605B7" w14:textId="6F5A86B2" w:rsidR="009D7AE1" w:rsidRPr="00F650EC" w:rsidRDefault="009D7AE1" w:rsidP="00F650E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1B05F3CE" w14:textId="0CAA4B56" w:rsidR="009D7AE1" w:rsidRPr="00F650EC" w:rsidRDefault="009D7AE1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definicją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RZS).</w:t>
            </w:r>
          </w:p>
          <w:p w14:paraId="4E66F3C3" w14:textId="3FB9EF55" w:rsidR="009D7AE1" w:rsidRPr="00F650EC" w:rsidRDefault="009D7AE1" w:rsidP="00F650E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wcześniejszym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dopiero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upływie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ostatniej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potencjalnego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korzyści.</w:t>
            </w:r>
          </w:p>
          <w:p w14:paraId="5EA25615" w14:textId="17C77CCE" w:rsidR="009D7AE1" w:rsidRPr="00F650EC" w:rsidRDefault="009D7AE1" w:rsidP="00F650EC">
            <w:pPr>
              <w:numPr>
                <w:ilvl w:val="3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konieczności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2a)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niniejszego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poddani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lekowych:</w:t>
            </w:r>
          </w:p>
          <w:p w14:paraId="14CD4018" w14:textId="17F0AC78" w:rsidR="009D7AE1" w:rsidRPr="00F650EC" w:rsidRDefault="009D7AE1" w:rsidP="00F650EC">
            <w:pPr>
              <w:numPr>
                <w:ilvl w:val="4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trzema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5FF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5FF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557" w:rsidRPr="00F650E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557" w:rsidRPr="00F650EC">
              <w:rPr>
                <w:rFonts w:ascii="Times New Roman" w:hAnsi="Times New Roman" w:cs="Times New Roman"/>
                <w:sz w:val="20"/>
                <w:szCs w:val="20"/>
              </w:rPr>
              <w:t>upadacytynibem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anakinrą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których:</w:t>
            </w:r>
          </w:p>
          <w:p w14:paraId="76BDF354" w14:textId="6B032291" w:rsidR="00A857A0" w:rsidRPr="00F650EC" w:rsidRDefault="009D7AE1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uczuleniowa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12091BE" w14:textId="5211AC3F" w:rsidR="009D7AE1" w:rsidRPr="00F650EC" w:rsidRDefault="009D7AE1" w:rsidP="00F650E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5B57CD6" w14:textId="06BCA57D" w:rsidR="00A857A0" w:rsidRPr="00F650EC" w:rsidRDefault="009D7AE1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ustępują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983E243" w14:textId="702CE762" w:rsidR="009D7AE1" w:rsidRPr="00F650EC" w:rsidRDefault="009D7AE1" w:rsidP="00F650E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538C260A" w14:textId="330A985F" w:rsidR="009D7AE1" w:rsidRPr="00F650EC" w:rsidRDefault="009D7AE1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definicją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RZS).</w:t>
            </w:r>
          </w:p>
          <w:p w14:paraId="429C37A8" w14:textId="3673B96C" w:rsidR="009D7AE1" w:rsidRPr="00F650EC" w:rsidRDefault="009D7AE1" w:rsidP="00F650EC">
            <w:pPr>
              <w:numPr>
                <w:ilvl w:val="3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konieczności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2a)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niniejszego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poddani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lekowych:</w:t>
            </w:r>
          </w:p>
          <w:p w14:paraId="7E1002B1" w14:textId="11682BE7" w:rsidR="009D7AE1" w:rsidRPr="00F650EC" w:rsidRDefault="009D7AE1" w:rsidP="00F650EC">
            <w:pPr>
              <w:numPr>
                <w:ilvl w:val="4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</w:t>
            </w:r>
            <w:r w:rsidR="009D2AF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trzema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557" w:rsidRPr="00F650E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557" w:rsidRPr="00F650EC">
              <w:rPr>
                <w:rFonts w:ascii="Times New Roman" w:hAnsi="Times New Roman" w:cs="Times New Roman"/>
                <w:sz w:val="20"/>
                <w:szCs w:val="20"/>
              </w:rPr>
              <w:t>upadacytynibem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5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anakinrą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których:</w:t>
            </w:r>
          </w:p>
          <w:p w14:paraId="1C649A39" w14:textId="10ECDC60" w:rsidR="00A857A0" w:rsidRPr="00F650EC" w:rsidRDefault="009D7AE1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uczuleniowa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7443843" w14:textId="474C14D7" w:rsidR="009D7AE1" w:rsidRPr="00F650EC" w:rsidRDefault="009D7AE1" w:rsidP="00F650E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39C5F7C" w14:textId="6A37E676" w:rsidR="00A857A0" w:rsidRPr="00F650EC" w:rsidRDefault="009D7AE1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ustępują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F2F34D7" w14:textId="5A7D4A68" w:rsidR="009D7AE1" w:rsidRPr="00F650EC" w:rsidRDefault="009D7AE1" w:rsidP="00F650E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710ACF0E" w14:textId="1B582327" w:rsidR="009D7AE1" w:rsidRPr="00F650EC" w:rsidRDefault="009D7AE1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definicją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RZS).</w:t>
            </w:r>
          </w:p>
          <w:p w14:paraId="46B639B5" w14:textId="34EDB6BE" w:rsidR="005441A9" w:rsidRPr="00F650EC" w:rsidRDefault="009D7AE1" w:rsidP="00F650E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wcześniejszym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dopiero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upływie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ostatniej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potencjalnego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korzyści.</w:t>
            </w:r>
          </w:p>
          <w:p w14:paraId="22C13A2D" w14:textId="1462AB10" w:rsidR="008C0EA1" w:rsidRPr="00F650EC" w:rsidRDefault="008C0EA1" w:rsidP="00F650E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konieczności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2a)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niniejszego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poddani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lekowych:</w:t>
            </w:r>
          </w:p>
          <w:p w14:paraId="69E1A816" w14:textId="490BF3ED" w:rsidR="008C0EA1" w:rsidRPr="00F650EC" w:rsidRDefault="008C0EA1" w:rsidP="00F650EC">
            <w:pPr>
              <w:pStyle w:val="Akapitzlist"/>
              <w:numPr>
                <w:ilvl w:val="4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trzema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9655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9655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upadacytynibem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67F48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67F48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anakinrą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których:</w:t>
            </w:r>
          </w:p>
          <w:p w14:paraId="3D804D15" w14:textId="06D8A4B1" w:rsidR="00F569AE" w:rsidRPr="00F650EC" w:rsidRDefault="008C0EA1" w:rsidP="00F650EC">
            <w:pPr>
              <w:pStyle w:val="Akapitzlist"/>
              <w:numPr>
                <w:ilvl w:val="5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uczuleniowa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pomocniczą</w:t>
            </w:r>
          </w:p>
          <w:p w14:paraId="10FA48BC" w14:textId="78915703" w:rsidR="008C0EA1" w:rsidRPr="00F650EC" w:rsidRDefault="008C0EA1" w:rsidP="00F650E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F73D3AD" w14:textId="184E1D3D" w:rsidR="00F569AE" w:rsidRPr="00F650EC" w:rsidRDefault="008C0EA1" w:rsidP="00F650EC">
            <w:pPr>
              <w:pStyle w:val="Akapitzlist"/>
              <w:numPr>
                <w:ilvl w:val="5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ustępują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CC5079F" w14:textId="423BE959" w:rsidR="008C0EA1" w:rsidRPr="00F650EC" w:rsidRDefault="008C0EA1" w:rsidP="00F650E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5DC248DC" w14:textId="647C0E24" w:rsidR="008C0EA1" w:rsidRPr="00F650EC" w:rsidRDefault="008C0EA1" w:rsidP="00F650EC">
            <w:pPr>
              <w:pStyle w:val="Akapitzlist"/>
              <w:numPr>
                <w:ilvl w:val="5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definicją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RZS).</w:t>
            </w:r>
          </w:p>
          <w:p w14:paraId="0172018F" w14:textId="0397AD5C" w:rsidR="008C0EA1" w:rsidRPr="00F650EC" w:rsidRDefault="008C0EA1" w:rsidP="00F650E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wcześniejszym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dopiero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upływie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ostatniej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potencjalnego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korzyści.</w:t>
            </w:r>
          </w:p>
          <w:p w14:paraId="33E8CA57" w14:textId="55BDE91E" w:rsidR="00664775" w:rsidRPr="00F650EC" w:rsidRDefault="00664775" w:rsidP="00F650E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upadacytynib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konieczności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ppkt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2a)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niniejszego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poddani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lekowych:</w:t>
            </w:r>
          </w:p>
          <w:p w14:paraId="04A737F6" w14:textId="544797CD" w:rsidR="00664775" w:rsidRPr="00F650EC" w:rsidRDefault="00664775" w:rsidP="00F650EC">
            <w:pPr>
              <w:numPr>
                <w:ilvl w:val="4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jednym,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trzema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anakinrą,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których:</w:t>
            </w:r>
          </w:p>
          <w:p w14:paraId="01E4E669" w14:textId="4E92BDF5" w:rsidR="00210416" w:rsidRPr="00F650EC" w:rsidRDefault="00664775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uczuleniowa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</w:t>
            </w:r>
            <w:r w:rsidR="00210416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1E1A8F5E" w14:textId="609E8D07" w:rsidR="00664775" w:rsidRPr="00F650EC" w:rsidRDefault="00664775" w:rsidP="00F650EC">
            <w:pPr>
              <w:spacing w:after="60" w:line="276" w:lineRule="auto"/>
              <w:ind w:lef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57D187E" w14:textId="45106687" w:rsidR="00210416" w:rsidRPr="00F650EC" w:rsidRDefault="00664775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ustępują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</w:p>
          <w:p w14:paraId="7BFAC90F" w14:textId="3E9F6F49" w:rsidR="00664775" w:rsidRPr="00F650EC" w:rsidRDefault="00664775" w:rsidP="00F650EC">
            <w:pPr>
              <w:spacing w:after="60" w:line="276" w:lineRule="auto"/>
              <w:ind w:lef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5F004254" w14:textId="7FD56CF6" w:rsidR="00664775" w:rsidRPr="00F650EC" w:rsidRDefault="00664775" w:rsidP="00F650EC">
            <w:pPr>
              <w:numPr>
                <w:ilvl w:val="5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definicją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RZS).</w:t>
            </w:r>
          </w:p>
          <w:p w14:paraId="28DE32CA" w14:textId="4ADBD5E0" w:rsidR="00664775" w:rsidRPr="00F650EC" w:rsidRDefault="00664775" w:rsidP="00F650E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upadacytynib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wcześniejszym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dopiero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upływie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ostatniej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potencjalnego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korzyści.</w:t>
            </w:r>
          </w:p>
          <w:p w14:paraId="4F870ADC" w14:textId="5E2BFF70" w:rsidR="006D087B" w:rsidRPr="00F650EC" w:rsidRDefault="006D087B" w:rsidP="00F650E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anakinrą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także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Stilla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dorosłych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(AOSD</w:t>
            </w:r>
            <w:r w:rsidR="00942CD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poddani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najmniej:</w:t>
            </w:r>
          </w:p>
          <w:p w14:paraId="0AB8677A" w14:textId="78A568CB" w:rsidR="006D087B" w:rsidRPr="00F650EC" w:rsidRDefault="006D087B" w:rsidP="00F650EC">
            <w:pPr>
              <w:pStyle w:val="Akapitzlist"/>
              <w:numPr>
                <w:ilvl w:val="4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131A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131A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upadacytynibem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zastosowanymi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których:</w:t>
            </w:r>
          </w:p>
          <w:p w14:paraId="50DA5CBB" w14:textId="4FB03F79" w:rsidR="00A0131A" w:rsidRPr="00F650EC" w:rsidRDefault="006D087B" w:rsidP="00F650EC">
            <w:pPr>
              <w:pStyle w:val="Akapitzlist"/>
              <w:numPr>
                <w:ilvl w:val="5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uczuleniowa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F6666B8" w14:textId="7B719E7F" w:rsidR="006D087B" w:rsidRPr="00F650EC" w:rsidRDefault="006D087B" w:rsidP="00F650E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601135E0" w14:textId="031373EF" w:rsidR="00A0131A" w:rsidRPr="00F650EC" w:rsidRDefault="006D087B" w:rsidP="00F650EC">
            <w:pPr>
              <w:pStyle w:val="Akapitzlist"/>
              <w:numPr>
                <w:ilvl w:val="5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ustępują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67F91E8" w14:textId="64244FAB" w:rsidR="006D087B" w:rsidRPr="00F650EC" w:rsidRDefault="006D087B" w:rsidP="00F650EC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5C888F55" w14:textId="3A8EAC2A" w:rsidR="006D087B" w:rsidRPr="00F650EC" w:rsidRDefault="006D087B" w:rsidP="00F650EC">
            <w:pPr>
              <w:pStyle w:val="Akapitzlist"/>
              <w:numPr>
                <w:ilvl w:val="5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w/w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przeciwwskazane.</w:t>
            </w:r>
          </w:p>
          <w:p w14:paraId="57D0A4B4" w14:textId="32CE7678" w:rsidR="00C134CF" w:rsidRPr="00F650EC" w:rsidRDefault="009D7AE1" w:rsidP="00F650EC">
            <w:pPr>
              <w:numPr>
                <w:ilvl w:val="3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3D5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ośmiu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9D2AF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pięciu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77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2AF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baricytynibu</w:t>
            </w:r>
            <w:r w:rsidR="00C10F7E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tofacytynibu</w:t>
            </w:r>
            <w:r w:rsidR="00077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0F7E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upadacytynibu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nieskuteczności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odstawienia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była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nietolerancja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</w:t>
            </w:r>
            <w:r w:rsidR="008C0EA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B3A9D18" w14:textId="41B4F26B" w:rsidR="006D087B" w:rsidRPr="00F650EC" w:rsidRDefault="006D087B" w:rsidP="00F650E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Stilla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dorosłych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(AOSD)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7E0B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dziewięciu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sześciu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biologicznych,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baricytynibu</w:t>
            </w:r>
            <w:r w:rsidR="00214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3D5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3D5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upadacytynibu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nieskuteczności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odstawienia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przynajmniej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była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nietolerancja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niepożądane.</w:t>
            </w:r>
          </w:p>
          <w:p w14:paraId="7A4B5FF5" w14:textId="64AFD708" w:rsidR="00C134CF" w:rsidRPr="00F650EC" w:rsidRDefault="009D7AE1" w:rsidP="00F650EC">
            <w:pPr>
              <w:numPr>
                <w:ilvl w:val="3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był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leczony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przeszłości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nieskutecznie.</w:t>
            </w:r>
          </w:p>
          <w:p w14:paraId="38AD40A7" w14:textId="381A487C" w:rsidR="00C134CF" w:rsidRPr="00F650EC" w:rsidRDefault="009D7AE1" w:rsidP="00F650EC">
            <w:pPr>
              <w:numPr>
                <w:ilvl w:val="3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programu.</w:t>
            </w:r>
          </w:p>
          <w:p w14:paraId="699609E0" w14:textId="3A2CA55F" w:rsidR="00C134CF" w:rsidRPr="00F650EC" w:rsidRDefault="009D7AE1" w:rsidP="00F650EC">
            <w:pPr>
              <w:numPr>
                <w:ilvl w:val="3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przypadkach,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pacjentowi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grozi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kalectwo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zagrożone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zakwalifikowany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39D6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39D6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</w:t>
            </w:r>
            <w:r w:rsidR="00F37E0B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7E0B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7E0B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upadacytynibu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niespełnienia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opisanych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obowiązującymi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medyczną.</w:t>
            </w:r>
          </w:p>
          <w:p w14:paraId="3C05D3F5" w14:textId="416673ED" w:rsidR="00C134CF" w:rsidRPr="00F650EC" w:rsidRDefault="009D7AE1" w:rsidP="00F650EC">
            <w:pPr>
              <w:numPr>
                <w:ilvl w:val="3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kobiet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urodzeń,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odbywa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leczenie.</w:t>
            </w:r>
          </w:p>
          <w:p w14:paraId="46A121F7" w14:textId="77777777" w:rsidR="009D7AE1" w:rsidRPr="00F650EC" w:rsidRDefault="009D7AE1" w:rsidP="00F650EC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A0D0E8" w14:textId="3384977C" w:rsidR="009D7AE1" w:rsidRPr="00F650EC" w:rsidRDefault="009D7AE1" w:rsidP="00F650EC">
            <w:pPr>
              <w:numPr>
                <w:ilvl w:val="0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stanowiące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przeciwwskazania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udziału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programie</w:t>
            </w:r>
          </w:p>
          <w:p w14:paraId="6A7B1564" w14:textId="573F1EDC" w:rsidR="009D7AE1" w:rsidRPr="00F650EC" w:rsidRDefault="009D7AE1" w:rsidP="00F650E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Przeciwwskazania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udziału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wynikają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przeciwwskazań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określonych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Charakterystykach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Produktów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Leczniczych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poszczególnych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substancji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czynnych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ujętych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lekowym,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uwzględnieniem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rekomendacji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EULAR/ACR.</w:t>
            </w:r>
          </w:p>
          <w:p w14:paraId="6869E8BC" w14:textId="77777777" w:rsidR="004038D2" w:rsidRPr="00F650EC" w:rsidRDefault="004038D2" w:rsidP="00F650EC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0979D" w14:textId="21E7DF8B" w:rsidR="009D7AE1" w:rsidRPr="00F650EC" w:rsidRDefault="009D7AE1" w:rsidP="00F650EC">
            <w:pPr>
              <w:numPr>
                <w:ilvl w:val="0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programie</w:t>
            </w:r>
          </w:p>
          <w:p w14:paraId="3EF5264C" w14:textId="58DA0267" w:rsidR="009D7AE1" w:rsidRPr="00F650EC" w:rsidRDefault="009D7AE1" w:rsidP="00F650EC">
            <w:pPr>
              <w:numPr>
                <w:ilvl w:val="3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programie.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E7DCF3D" w14:textId="3CB28C95" w:rsidR="009D7AE1" w:rsidRPr="00F650EC" w:rsidRDefault="009D7AE1" w:rsidP="00F650EC">
            <w:pPr>
              <w:numPr>
                <w:ilvl w:val="3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063" w:rsidRPr="00F650EC">
              <w:rPr>
                <w:rFonts w:ascii="Times New Roman" w:hAnsi="Times New Roman" w:cs="Times New Roman"/>
                <w:sz w:val="20"/>
                <w:szCs w:val="20"/>
              </w:rPr>
              <w:t>istotnej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czasowej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przerwy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daną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substancją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czynną</w:t>
            </w:r>
            <w:r w:rsidR="00AF4063" w:rsidRPr="00F650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schemat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70D" w:rsidRPr="00F650EC">
              <w:rPr>
                <w:rFonts w:ascii="Times New Roman" w:hAnsi="Times New Roman" w:cs="Times New Roman"/>
                <w:sz w:val="20"/>
                <w:szCs w:val="20"/>
              </w:rPr>
              <w:t>ulega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70D" w:rsidRPr="00F650EC">
              <w:rPr>
                <w:rFonts w:ascii="Times New Roman" w:hAnsi="Times New Roman" w:cs="Times New Roman"/>
                <w:sz w:val="20"/>
                <w:szCs w:val="20"/>
              </w:rPr>
              <w:t>modyfikacji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70D" w:rsidRPr="00F650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70D" w:rsidRPr="00F650EC">
              <w:rPr>
                <w:rFonts w:ascii="Times New Roman" w:hAnsi="Times New Roman" w:cs="Times New Roman"/>
                <w:sz w:val="20"/>
                <w:szCs w:val="20"/>
              </w:rPr>
              <w:t>uwzględnieniem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  <w:r w:rsidR="0021270D" w:rsidRPr="00F650E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przerwy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podawaniu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leku.</w:t>
            </w:r>
          </w:p>
          <w:p w14:paraId="28AF064E" w14:textId="77777777" w:rsidR="009D7AE1" w:rsidRPr="00F650EC" w:rsidRDefault="009D7AE1" w:rsidP="00F650EC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919E53" w14:textId="12361C1A" w:rsidR="009D7AE1" w:rsidRPr="00F650EC" w:rsidRDefault="009D7AE1" w:rsidP="00F650EC">
            <w:pPr>
              <w:numPr>
                <w:ilvl w:val="0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wyłączenia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3673B4A3" w14:textId="63E30D13" w:rsidR="009D7AE1" w:rsidRPr="00F650EC" w:rsidRDefault="00210416" w:rsidP="00F650EC">
            <w:pPr>
              <w:numPr>
                <w:ilvl w:val="3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65BA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65BA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15A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15A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upadacytynibu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umiarkowanej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mierzonej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≤3,7,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SDAI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4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4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upadacytynibu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anakinry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układowych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FE5ACEE" w14:textId="4B4B8D92" w:rsidR="009D7AE1" w:rsidRPr="00F650EC" w:rsidRDefault="00210416" w:rsidP="00F650EC">
            <w:pPr>
              <w:numPr>
                <w:ilvl w:val="3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4F7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</w:t>
            </w:r>
            <w:r w:rsidR="00390D6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0D6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0D6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0D6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0D6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0D6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0D6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15A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15A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upadacytynibu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możliwe.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Miernikiem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≤2,4,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SDAI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Miernikiem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2,6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≤1,6,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SDAI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≤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3,3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4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40C4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upadacytynibu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anakinry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ustąpienia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636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układowych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927E685" w14:textId="28747B72" w:rsidR="009D7AE1" w:rsidRPr="00F650EC" w:rsidRDefault="00210416" w:rsidP="00F650EC">
            <w:pPr>
              <w:numPr>
                <w:ilvl w:val="3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trata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tj.: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dwóch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monitorujących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zaostrzenia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przestaje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było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możliwe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1225F18" w14:textId="3D632B54" w:rsidR="00322658" w:rsidRPr="00F650EC" w:rsidRDefault="00210416" w:rsidP="00F650EC">
            <w:pPr>
              <w:numPr>
                <w:ilvl w:val="3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ystąpienie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działań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niepożądanych,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prowadzona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przeciwwskazaniami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EA6F568" w14:textId="561301D4" w:rsidR="009D7AE1" w:rsidRPr="00F650EC" w:rsidRDefault="00210416" w:rsidP="00F650EC">
            <w:pPr>
              <w:numPr>
                <w:ilvl w:val="3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ekarz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prowadzący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może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zwrócić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Zespołu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Koordynacyjnego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Spraw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Biologicznego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Chorobach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Reumatycznych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wyrażenie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zgody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kontynuację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daną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substancją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czynną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uzasadnionych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sytuacjach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klinicznych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nieuzyskania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chorego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niskiej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aktywności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ppkt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szczególnie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wyjściową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bardzo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dużą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aktywnością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i/lub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występowaniem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czynników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złej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prognozy.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zgody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Zespołu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Koordynacyjnego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dalsze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daną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substancją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czynną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braku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uzyskania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niskiej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aktywności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miesiącach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656" w:rsidRPr="00F650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56656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±1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56656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miesiąc)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F650EC">
              <w:rPr>
                <w:rFonts w:ascii="Times New Roman" w:hAnsi="Times New Roman" w:cs="Times New Roman"/>
                <w:sz w:val="20"/>
                <w:szCs w:val="20"/>
              </w:rPr>
              <w:t>możliwe.</w:t>
            </w:r>
          </w:p>
          <w:p w14:paraId="662180E1" w14:textId="77777777" w:rsidR="009D7AE1" w:rsidRPr="00F650EC" w:rsidRDefault="009D7AE1" w:rsidP="00F650EC">
            <w:pPr>
              <w:spacing w:after="6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5A195F" w14:textId="07289B5E" w:rsidR="009D7AE1" w:rsidRPr="00F650EC" w:rsidRDefault="009D7AE1" w:rsidP="00F650EC">
            <w:pPr>
              <w:numPr>
                <w:ilvl w:val="0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ponownego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włączenia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518C1EFD" w14:textId="3D9783A9" w:rsidR="009D7AE1" w:rsidRPr="00F650EC" w:rsidRDefault="009D7AE1" w:rsidP="00F650EC">
            <w:pPr>
              <w:numPr>
                <w:ilvl w:val="3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zaprzestano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70C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70C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</w:t>
            </w:r>
            <w:r w:rsidR="000357F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15A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15A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upadacytynibu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powodu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remisji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nawrót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włączany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kwalifikacji.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78DA2B6" w14:textId="0A5DBC07" w:rsidR="009D7AE1" w:rsidRPr="00F650EC" w:rsidRDefault="009D7AE1" w:rsidP="00F650EC">
            <w:pPr>
              <w:numPr>
                <w:ilvl w:val="3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Nawrót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35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stosunku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obliczonej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momencie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odstawienia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57F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57F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15A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15A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upadacytynibu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nastąpił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wzrost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wartości:</w:t>
            </w:r>
          </w:p>
          <w:p w14:paraId="2BDC36FD" w14:textId="525C84B6" w:rsidR="00FA0590" w:rsidRPr="00F650EC" w:rsidRDefault="009D7AE1" w:rsidP="00F650EC">
            <w:pPr>
              <w:numPr>
                <w:ilvl w:val="4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56656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3,2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FA7C894" w14:textId="1238E600" w:rsidR="009D7AE1" w:rsidRPr="00F650EC" w:rsidRDefault="009D7AE1" w:rsidP="00F650E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</w:p>
          <w:p w14:paraId="4F9F1EF8" w14:textId="164F6049" w:rsidR="00FA0590" w:rsidRPr="00F650EC" w:rsidRDefault="009D7AE1" w:rsidP="00F650EC">
            <w:pPr>
              <w:numPr>
                <w:ilvl w:val="4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56656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2C6B2E7" w14:textId="375AEF33" w:rsidR="009D7AE1" w:rsidRPr="00F650EC" w:rsidRDefault="009D7AE1" w:rsidP="00F650EC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BCA194A" w14:textId="4BF245AE" w:rsidR="009D7AE1" w:rsidRPr="00F650EC" w:rsidRDefault="009D7AE1" w:rsidP="00F650EC">
            <w:pPr>
              <w:numPr>
                <w:ilvl w:val="4"/>
                <w:numId w:val="1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SDAI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56656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  <w:p w14:paraId="42C55D0E" w14:textId="7B016A9E" w:rsidR="003373F6" w:rsidRPr="00F650EC" w:rsidRDefault="003373F6" w:rsidP="00F650EC">
            <w:pPr>
              <w:pStyle w:val="Akapitzlist"/>
              <w:numPr>
                <w:ilvl w:val="3"/>
                <w:numId w:val="19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Stilla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dorosłych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(AOSD)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włączany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nawrotu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układowych.</w:t>
            </w:r>
          </w:p>
          <w:p w14:paraId="73390FC2" w14:textId="646CBB9C" w:rsidR="009D7AE1" w:rsidRPr="00F650EC" w:rsidRDefault="009D7AE1" w:rsidP="00F650EC">
            <w:pPr>
              <w:numPr>
                <w:ilvl w:val="3"/>
                <w:numId w:val="19"/>
              </w:numPr>
              <w:spacing w:after="60" w:line="276" w:lineRule="auto"/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włączany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wywołało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niską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73F6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373F6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ustąpienie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373F6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373F6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układowych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F1E8A8C" w14:textId="322C5B62" w:rsidR="009D7AE1" w:rsidRPr="00F650EC" w:rsidRDefault="009D7AE1" w:rsidP="00F650EC">
            <w:pPr>
              <w:numPr>
                <w:ilvl w:val="3"/>
                <w:numId w:val="19"/>
              </w:numPr>
              <w:spacing w:after="60" w:line="276" w:lineRule="auto"/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włączony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zaprzestano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wymienionej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powodu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działań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niepożądanych,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ustąpiły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odstawieniu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bądź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powrót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pacjenta.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1B60D7B" w14:textId="77777777" w:rsidR="009D7AE1" w:rsidRPr="00F650EC" w:rsidRDefault="009D7AE1" w:rsidP="00F650EC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14:paraId="402FDB76" w14:textId="61646198" w:rsidR="009D7AE1" w:rsidRPr="00F650EC" w:rsidRDefault="009D7AE1" w:rsidP="00F650E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Dawkowanie</w:t>
            </w:r>
          </w:p>
          <w:p w14:paraId="0703050E" w14:textId="3B70D4BB" w:rsidR="009D7AE1" w:rsidRPr="00F650EC" w:rsidRDefault="009D7AE1" w:rsidP="00F650EC">
            <w:pPr>
              <w:numPr>
                <w:ilvl w:val="3"/>
                <w:numId w:val="2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245A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245A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</w:t>
            </w:r>
            <w:r w:rsidR="0068170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95D3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</w:t>
            </w:r>
            <w:r w:rsidR="00F630E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170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</w:t>
            </w:r>
            <w:r w:rsidR="00C172F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745B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upadacytynib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249C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30E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anakinrę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47D88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dawkowaniem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</w:t>
            </w:r>
            <w:r w:rsidR="005264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7CEE" w:rsidRPr="00F65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EULAR/ACR</w:t>
            </w:r>
            <w:r w:rsidR="000E423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wydłużenia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pomiędzy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9E5A3A2" w14:textId="7D8B2BB3" w:rsidR="009D7AE1" w:rsidRPr="00F650EC" w:rsidRDefault="009D7AE1" w:rsidP="00F650EC">
            <w:pPr>
              <w:numPr>
                <w:ilvl w:val="3"/>
                <w:numId w:val="21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Zmiana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47D88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podskórną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przeprowadzona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nadzorem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wykwalifikowanego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personelu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medycznego.</w:t>
            </w:r>
          </w:p>
          <w:p w14:paraId="19C34483" w14:textId="17D668FE" w:rsidR="009D7AE1" w:rsidRPr="00F650EC" w:rsidRDefault="009D7AE1" w:rsidP="00F650EC">
            <w:pPr>
              <w:widowControl w:val="0"/>
              <w:numPr>
                <w:ilvl w:val="3"/>
                <w:numId w:val="2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Powyższe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doustnej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podskórnej)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skutecznej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tolerowanej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chyba,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metotreksatu.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3281414" w14:textId="67885257" w:rsidR="009D7AE1" w:rsidRPr="00F650EC" w:rsidRDefault="009D7AE1" w:rsidP="00F650EC">
            <w:pPr>
              <w:pStyle w:val="Akapitzlist"/>
              <w:widowControl w:val="0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przeciwwskazań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adalimumab,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certolizumab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pegol,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etanercept,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</w:t>
            </w:r>
            <w:r w:rsidR="0068170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170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</w:t>
            </w:r>
            <w:r w:rsidR="00F630E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</w:t>
            </w:r>
            <w:r w:rsidR="003F40C9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F40C9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upadacytynib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F40C9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72F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anakinra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719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mogą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719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719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719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719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719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719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719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719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719C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EULAR/ACR.</w:t>
            </w:r>
          </w:p>
          <w:p w14:paraId="63972FD6" w14:textId="77777777" w:rsidR="009D7AE1" w:rsidRPr="00F650EC" w:rsidRDefault="009D7AE1" w:rsidP="00F650EC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130639" w14:textId="77777777" w:rsidR="009D7AE1" w:rsidRPr="00F650EC" w:rsidRDefault="009D7AE1" w:rsidP="00F650EC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E9D" w14:textId="3F5E0598" w:rsidR="009D7AE1" w:rsidRPr="00F650EC" w:rsidRDefault="0043742A" w:rsidP="00F650EC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Badania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kwalifikacji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3EEBA1B6" w14:textId="642F7FC4" w:rsidR="009D7AE1" w:rsidRPr="00F650EC" w:rsidRDefault="009D7AE1" w:rsidP="00F650EC">
            <w:pPr>
              <w:numPr>
                <w:ilvl w:val="3"/>
                <w:numId w:val="22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czynnik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reumatoidalny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aCCP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kiedykolwiek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przeszłości;</w:t>
            </w:r>
          </w:p>
          <w:p w14:paraId="70A79131" w14:textId="66F913D1" w:rsidR="009D7AE1" w:rsidRPr="00F650EC" w:rsidRDefault="009D7AE1" w:rsidP="00F650EC">
            <w:pPr>
              <w:numPr>
                <w:ilvl w:val="3"/>
                <w:numId w:val="22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tuberkulinowa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Quantiferon;</w:t>
            </w:r>
          </w:p>
          <w:p w14:paraId="6779E8FA" w14:textId="199B8CC9" w:rsidR="009D7AE1" w:rsidRPr="00F650EC" w:rsidRDefault="009D7AE1" w:rsidP="00F650EC">
            <w:pPr>
              <w:numPr>
                <w:ilvl w:val="3"/>
                <w:numId w:val="22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antygenu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HBs;</w:t>
            </w:r>
          </w:p>
          <w:p w14:paraId="4AEBB97A" w14:textId="274A618B" w:rsidR="009D7AE1" w:rsidRPr="00F650EC" w:rsidRDefault="009D7AE1" w:rsidP="00F650EC">
            <w:pPr>
              <w:numPr>
                <w:ilvl w:val="3"/>
                <w:numId w:val="22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przeciwciała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anty-HCV,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pozytywnego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PCR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HCV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ilościową;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037646C" w14:textId="1B2601FF" w:rsidR="009D7AE1" w:rsidRPr="00F650EC" w:rsidRDefault="009D7AE1" w:rsidP="00F650EC">
            <w:pPr>
              <w:numPr>
                <w:ilvl w:val="3"/>
                <w:numId w:val="22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5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antygen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 w:rsidRPr="0035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wirusa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HIV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(HIV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Ag/Ab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Combo);</w:t>
            </w:r>
          </w:p>
          <w:p w14:paraId="78145AAC" w14:textId="43A38DD3" w:rsidR="009D7AE1" w:rsidRPr="00F650EC" w:rsidRDefault="009D7AE1" w:rsidP="00F650EC">
            <w:pPr>
              <w:numPr>
                <w:ilvl w:val="3"/>
                <w:numId w:val="22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klatki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piersiowej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(maksymalnie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kwalifikacją);</w:t>
            </w:r>
          </w:p>
          <w:p w14:paraId="3FE777B7" w14:textId="346C16A3" w:rsidR="006A7CEE" w:rsidRPr="00F650EC" w:rsidRDefault="009D7AE1" w:rsidP="00F650EC">
            <w:pPr>
              <w:numPr>
                <w:ilvl w:val="3"/>
                <w:numId w:val="22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EKG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3505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0161B7" w:rsidRPr="00F650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;</w:t>
            </w:r>
          </w:p>
          <w:p w14:paraId="2DE86B71" w14:textId="50493533" w:rsidR="006A7CEE" w:rsidRPr="00F650EC" w:rsidRDefault="006A7CEE" w:rsidP="00F650EC">
            <w:pPr>
              <w:numPr>
                <w:ilvl w:val="3"/>
                <w:numId w:val="22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kwalifikowanych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F40C9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F40C9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upadacytynibem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909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2909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anakinrą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bezwzględnej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granulocytów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obojętnochłonnych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limfocytów;</w:t>
            </w:r>
          </w:p>
          <w:p w14:paraId="486E9E39" w14:textId="4F289432" w:rsidR="006A7CEE" w:rsidRPr="00F650EC" w:rsidRDefault="006A7CEE" w:rsidP="00F650EC">
            <w:pPr>
              <w:numPr>
                <w:ilvl w:val="3"/>
                <w:numId w:val="22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płytki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(PLT);</w:t>
            </w:r>
          </w:p>
          <w:p w14:paraId="56B8D82F" w14:textId="53ED0FA8" w:rsidR="006A7CEE" w:rsidRPr="00F650EC" w:rsidRDefault="006A7CEE" w:rsidP="00F650EC">
            <w:pPr>
              <w:numPr>
                <w:ilvl w:val="3"/>
                <w:numId w:val="22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Biernackiego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(OB);</w:t>
            </w:r>
          </w:p>
          <w:p w14:paraId="0C4A56FF" w14:textId="37257F4E" w:rsidR="006A7CEE" w:rsidRPr="00F650EC" w:rsidRDefault="006A7CEE" w:rsidP="00F650EC">
            <w:pPr>
              <w:numPr>
                <w:ilvl w:val="3"/>
                <w:numId w:val="22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C-reaktywnego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(CRP);</w:t>
            </w:r>
          </w:p>
          <w:p w14:paraId="1AF838E6" w14:textId="012FA049" w:rsidR="006A7CEE" w:rsidRPr="00F650EC" w:rsidRDefault="006A7CEE" w:rsidP="00F650EC">
            <w:pPr>
              <w:numPr>
                <w:ilvl w:val="3"/>
                <w:numId w:val="22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surowicy;</w:t>
            </w:r>
          </w:p>
          <w:p w14:paraId="3FAB953D" w14:textId="5DCD5002" w:rsidR="006A7CEE" w:rsidRPr="00F650EC" w:rsidRDefault="006A7CEE" w:rsidP="00F650EC">
            <w:pPr>
              <w:numPr>
                <w:ilvl w:val="3"/>
                <w:numId w:val="22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asparaginianowa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(AspAT);</w:t>
            </w:r>
          </w:p>
          <w:p w14:paraId="34891C27" w14:textId="4DDEDAE7" w:rsidR="006A7CEE" w:rsidRPr="00F650EC" w:rsidRDefault="006A7CEE" w:rsidP="00F650EC">
            <w:pPr>
              <w:numPr>
                <w:ilvl w:val="3"/>
                <w:numId w:val="22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alaninowa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(AlAT);</w:t>
            </w:r>
          </w:p>
          <w:p w14:paraId="0B09D997" w14:textId="3873847D" w:rsidR="006A7CEE" w:rsidRPr="00F650EC" w:rsidRDefault="006A7CEE" w:rsidP="00F650EC">
            <w:pPr>
              <w:numPr>
                <w:ilvl w:val="3"/>
                <w:numId w:val="22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moczu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lekarza);</w:t>
            </w:r>
          </w:p>
          <w:p w14:paraId="13ED2C08" w14:textId="3789EE92" w:rsidR="006A7CEE" w:rsidRPr="00F650EC" w:rsidRDefault="006A7CEE" w:rsidP="00F650EC">
            <w:pPr>
              <w:numPr>
                <w:ilvl w:val="3"/>
                <w:numId w:val="22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immunoglobulin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kwalifikowanych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rytuksymabem;</w:t>
            </w:r>
          </w:p>
          <w:p w14:paraId="0CBEEEE6" w14:textId="01D5FDE7" w:rsidR="000219B9" w:rsidRPr="00F650EC" w:rsidRDefault="000219B9" w:rsidP="00F650EC">
            <w:pPr>
              <w:numPr>
                <w:ilvl w:val="3"/>
                <w:numId w:val="22"/>
              </w:numPr>
              <w:suppressAutoHyphens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cholesterolu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całkowitego,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LDL,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HDL,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trójglicerydów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kwalifikowanych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443F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443F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upadacytynibem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3DFA5AE" w14:textId="77777777" w:rsidR="007050E5" w:rsidRPr="00F650EC" w:rsidRDefault="007050E5" w:rsidP="00F650EC">
            <w:pPr>
              <w:suppressAutoHyphens/>
              <w:snapToGrid w:val="0"/>
              <w:spacing w:after="6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E3B990" w14:textId="2F0E1E2A" w:rsidR="009D7AE1" w:rsidRPr="00F650EC" w:rsidRDefault="009D7AE1" w:rsidP="00F650EC">
            <w:pPr>
              <w:pStyle w:val="Akapitzlist"/>
              <w:numPr>
                <w:ilvl w:val="0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Monitorowanie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leczenia</w:t>
            </w:r>
          </w:p>
          <w:p w14:paraId="0C528961" w14:textId="137A5FC2" w:rsidR="009D7AE1" w:rsidRPr="00F650EC" w:rsidRDefault="009D7AE1" w:rsidP="00F650EC">
            <w:pPr>
              <w:numPr>
                <w:ilvl w:val="1"/>
                <w:numId w:val="2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inhibitorem</w:t>
            </w:r>
            <w:r w:rsid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alfa</w:t>
            </w:r>
            <w:r w:rsid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tocilizumabem</w:t>
            </w:r>
            <w:r w:rsid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70A55" w:rsidRPr="00F6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70A55" w:rsidRPr="00F6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baricytynibem</w:t>
            </w:r>
            <w:r w:rsid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68170D" w:rsidRPr="00F6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68170D" w:rsidRPr="00F6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tofacytynibem</w:t>
            </w:r>
            <w:r w:rsid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96557" w:rsidRPr="00F6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96557" w:rsidRPr="00F6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upadacytynibem</w:t>
            </w:r>
            <w:r w:rsidR="00526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42909" w:rsidRPr="00F6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42909" w:rsidRPr="00F6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anakinrą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wykonać:</w:t>
            </w:r>
          </w:p>
          <w:p w14:paraId="556D0D54" w14:textId="36B5EEBB" w:rsidR="009D7AE1" w:rsidRPr="00F650EC" w:rsidRDefault="009D7AE1" w:rsidP="00F650EC">
            <w:pPr>
              <w:numPr>
                <w:ilvl w:val="3"/>
                <w:numId w:val="22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leczonych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170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170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170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170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2909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443F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upadacytynibem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99B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99B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anakinr</w:t>
            </w:r>
            <w:r w:rsidR="00E657CE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bezwzględnej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granulocytów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obojętnochłonnych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170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170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limfocytów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3A5271B" w14:textId="402482D4" w:rsidR="009D7AE1" w:rsidRPr="00F650EC" w:rsidRDefault="009D7AE1" w:rsidP="00F650EC">
            <w:pPr>
              <w:numPr>
                <w:ilvl w:val="3"/>
                <w:numId w:val="22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płytki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(PLT);</w:t>
            </w:r>
          </w:p>
          <w:p w14:paraId="01DA1D9D" w14:textId="7BA59CC7" w:rsidR="009D7AE1" w:rsidRPr="00F650EC" w:rsidRDefault="009D7AE1" w:rsidP="00F650EC">
            <w:pPr>
              <w:numPr>
                <w:ilvl w:val="3"/>
                <w:numId w:val="22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Biernackiego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(OB);</w:t>
            </w:r>
          </w:p>
          <w:p w14:paraId="27AECB9B" w14:textId="0C88AF0D" w:rsidR="009D7AE1" w:rsidRPr="00F650EC" w:rsidRDefault="009D7AE1" w:rsidP="00F650EC">
            <w:pPr>
              <w:numPr>
                <w:ilvl w:val="3"/>
                <w:numId w:val="22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C-reaktywnego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(CRP);</w:t>
            </w:r>
          </w:p>
          <w:p w14:paraId="77C5BC4B" w14:textId="69EE3161" w:rsidR="009D7AE1" w:rsidRPr="00F650EC" w:rsidRDefault="009D7AE1" w:rsidP="00F650EC">
            <w:pPr>
              <w:numPr>
                <w:ilvl w:val="3"/>
                <w:numId w:val="22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surowicy;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7D588EC" w14:textId="1D3AF750" w:rsidR="009D7AE1" w:rsidRPr="00F650EC" w:rsidRDefault="009D7AE1" w:rsidP="00F650EC">
            <w:pPr>
              <w:numPr>
                <w:ilvl w:val="3"/>
                <w:numId w:val="22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AlAT;</w:t>
            </w:r>
          </w:p>
          <w:p w14:paraId="55F2B35A" w14:textId="0BA4C9C1" w:rsidR="009D7AE1" w:rsidRPr="00F650EC" w:rsidRDefault="009D7AE1" w:rsidP="00F650EC">
            <w:pPr>
              <w:numPr>
                <w:ilvl w:val="3"/>
                <w:numId w:val="22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cholesterolu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całkowitego,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LDL,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HDL,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trójglicerydów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leczonych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70A5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70A5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baricytynibem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170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170D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tofacytynibem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8D2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F28D2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upadacytynibem</w:t>
            </w:r>
            <w:r w:rsidR="00370A55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5F76A33" w14:textId="6B3E3F8B" w:rsidR="00462B7E" w:rsidRPr="00F650EC" w:rsidRDefault="009D7AE1" w:rsidP="00F650EC">
            <w:pPr>
              <w:pStyle w:val="Akapitzlist"/>
              <w:spacing w:after="60" w:line="276" w:lineRule="auto"/>
              <w:ind w:left="227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AD77A01" w14:textId="6BA6DE9F" w:rsidR="009D7AE1" w:rsidRPr="00F650EC" w:rsidRDefault="009D7AE1" w:rsidP="00F650EC">
            <w:pPr>
              <w:pStyle w:val="Akapitzlist"/>
              <w:spacing w:after="60" w:line="276" w:lineRule="auto"/>
              <w:ind w:left="227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obliczyć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SDAI,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także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skuteczności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909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2909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2909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2909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układowych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2909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2909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2909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2909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AOSD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770714D" w14:textId="0794C979" w:rsidR="009D7AE1" w:rsidRDefault="009D7AE1" w:rsidP="00F650EC">
            <w:pPr>
              <w:pStyle w:val="Akapitzlist"/>
              <w:spacing w:after="60" w:line="276" w:lineRule="auto"/>
              <w:ind w:left="227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powyższe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14:paraId="2759BE0A" w14:textId="77777777" w:rsidR="00F650EC" w:rsidRPr="00F650EC" w:rsidRDefault="00F650EC" w:rsidP="00F650EC">
            <w:pPr>
              <w:pStyle w:val="Akapitzlist"/>
              <w:spacing w:after="60" w:line="276" w:lineRule="auto"/>
              <w:ind w:left="227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B750E4" w14:textId="4C2B6234" w:rsidR="009D7AE1" w:rsidRPr="00F650EC" w:rsidRDefault="009D7AE1" w:rsidP="00F650EC">
            <w:pPr>
              <w:numPr>
                <w:ilvl w:val="1"/>
                <w:numId w:val="2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rytuksymabem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wykonać: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6A72454" w14:textId="4B1A32A3" w:rsidR="009D7AE1" w:rsidRPr="00F650EC" w:rsidRDefault="009D7AE1" w:rsidP="00F650EC">
            <w:pPr>
              <w:numPr>
                <w:ilvl w:val="3"/>
                <w:numId w:val="2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krwi;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5297AC4" w14:textId="4FD528F7" w:rsidR="009D7AE1" w:rsidRPr="00F650EC" w:rsidRDefault="009D7AE1" w:rsidP="00F650EC">
            <w:pPr>
              <w:numPr>
                <w:ilvl w:val="3"/>
                <w:numId w:val="2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Biernackiego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(OB);</w:t>
            </w:r>
          </w:p>
          <w:p w14:paraId="73577948" w14:textId="6C54B1F8" w:rsidR="009D7AE1" w:rsidRPr="00F650EC" w:rsidRDefault="009D7AE1" w:rsidP="00F650EC">
            <w:pPr>
              <w:numPr>
                <w:ilvl w:val="3"/>
                <w:numId w:val="2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C-reaktywnego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(CRP);</w:t>
            </w:r>
          </w:p>
          <w:p w14:paraId="7DD4B551" w14:textId="4CAE559B" w:rsidR="009D7AE1" w:rsidRPr="00F650EC" w:rsidRDefault="009D7AE1" w:rsidP="00F650EC">
            <w:pPr>
              <w:numPr>
                <w:ilvl w:val="3"/>
                <w:numId w:val="2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surowicy;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43CCF7F" w14:textId="5B090046" w:rsidR="009D7AE1" w:rsidRPr="00F650EC" w:rsidRDefault="009D7AE1" w:rsidP="00F650EC">
            <w:pPr>
              <w:numPr>
                <w:ilvl w:val="3"/>
                <w:numId w:val="2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AlAT;</w:t>
            </w:r>
          </w:p>
          <w:p w14:paraId="0BF12AB5" w14:textId="73225DDD" w:rsidR="009D7AE1" w:rsidRPr="00F650EC" w:rsidRDefault="009D7AE1" w:rsidP="00F650EC">
            <w:pPr>
              <w:numPr>
                <w:ilvl w:val="3"/>
                <w:numId w:val="2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immunoglobulin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</w:t>
            </w:r>
          </w:p>
          <w:p w14:paraId="3E0026FD" w14:textId="1EC35113" w:rsidR="009D7AE1" w:rsidRPr="00F650EC" w:rsidRDefault="009D7AE1" w:rsidP="00F650EC">
            <w:pPr>
              <w:pStyle w:val="Akapitzlist"/>
              <w:spacing w:after="60" w:line="276" w:lineRule="auto"/>
              <w:ind w:left="227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obliczyć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SDAI,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także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skuteczności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leczenia.</w:t>
            </w:r>
          </w:p>
          <w:p w14:paraId="26E48B75" w14:textId="3ACDCC92" w:rsidR="009D7AE1" w:rsidRPr="00F650EC" w:rsidRDefault="009D7AE1" w:rsidP="00F650EC">
            <w:pPr>
              <w:pStyle w:val="Akapitzlist"/>
              <w:spacing w:after="60" w:line="276" w:lineRule="auto"/>
              <w:ind w:left="227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powyższe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406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leku.</w:t>
            </w:r>
          </w:p>
          <w:p w14:paraId="28C6CF49" w14:textId="77777777" w:rsidR="007050E5" w:rsidRPr="00F650EC" w:rsidRDefault="007050E5" w:rsidP="00F650EC">
            <w:pPr>
              <w:spacing w:after="6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0AFDCE" w14:textId="6F51139F" w:rsidR="009D7AE1" w:rsidRPr="00F650EC" w:rsidRDefault="009D7AE1" w:rsidP="00F650EC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Monitorowanie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36B7C352" w14:textId="44FE19AD" w:rsidR="009D7AE1" w:rsidRPr="00F650EC" w:rsidRDefault="00946409" w:rsidP="00F650EC">
            <w:pPr>
              <w:numPr>
                <w:ilvl w:val="3"/>
                <w:numId w:val="2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romadzenie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żądanie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kontrolerów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42CCE174" w14:textId="28DD1265" w:rsidR="009D7AE1" w:rsidRPr="00F650EC" w:rsidRDefault="00946409" w:rsidP="00F650EC">
            <w:pPr>
              <w:numPr>
                <w:ilvl w:val="3"/>
                <w:numId w:val="2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zupełnianie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4552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4552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4552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4552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4552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(SMPT)</w:t>
            </w:r>
            <w:r w:rsidR="00C14552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internetowej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udostępnionej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częstotliwością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48F1EF9D" w14:textId="12795B81" w:rsidR="009D7AE1" w:rsidRPr="00F650EC" w:rsidRDefault="00946409" w:rsidP="00F650EC">
            <w:pPr>
              <w:numPr>
                <w:ilvl w:val="3"/>
                <w:numId w:val="22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rzekazywanie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sprawozdawczo-rozliczeniowych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NFZ: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przekazuje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papierowej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elektronicznej,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opublikowanymi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</w:t>
            </w:r>
            <w:r w:rsidR="009D7AE1" w:rsidRPr="00F650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4823706" w14:textId="77777777" w:rsidR="009D7AE1" w:rsidRPr="00F650EC" w:rsidRDefault="009D7AE1" w:rsidP="00F650EC">
            <w:pPr>
              <w:suppressAutoHyphens/>
              <w:spacing w:after="60" w:line="276" w:lineRule="auto"/>
              <w:ind w:left="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D7AE1" w:rsidRPr="00B27143" w14:paraId="7164677D" w14:textId="77777777" w:rsidTr="00CB2AC0">
        <w:trPr>
          <w:trHeight w:val="56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0729" w14:textId="2690EE45" w:rsidR="009D7AE1" w:rsidRPr="00B27143" w:rsidRDefault="009D7AE1" w:rsidP="00B2714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MŁODZIEŃCZE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IDIOPATYCZNE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ZAPALENIE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71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STAWÓW</w:t>
            </w:r>
          </w:p>
        </w:tc>
      </w:tr>
      <w:tr w:rsidR="009D7AE1" w:rsidRPr="00B27143" w14:paraId="280CD3AA" w14:textId="77777777" w:rsidTr="00FE349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31E12" w14:textId="3B65792A" w:rsidR="009D7AE1" w:rsidRPr="0052643B" w:rsidRDefault="009D7AE1" w:rsidP="0052643B">
            <w:pPr>
              <w:numPr>
                <w:ilvl w:val="0"/>
                <w:numId w:val="20"/>
              </w:numPr>
              <w:spacing w:before="12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kwalifikacji</w:t>
            </w:r>
          </w:p>
          <w:p w14:paraId="2B057587" w14:textId="48CA2E67" w:rsidR="009D7AE1" w:rsidRPr="0052643B" w:rsidRDefault="009D7AE1" w:rsidP="0052643B">
            <w:pPr>
              <w:widowControl w:val="0"/>
              <w:numPr>
                <w:ilvl w:val="3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pośrednictwem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SMPT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powoływany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Zdrowia.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aktualizacji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SMPT,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pośrednictwem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SMPT.</w:t>
            </w:r>
          </w:p>
          <w:p w14:paraId="0B7A7F7B" w14:textId="48749450" w:rsidR="009D7AE1" w:rsidRPr="0052643B" w:rsidRDefault="009D7AE1" w:rsidP="0052643B">
            <w:pPr>
              <w:pStyle w:val="Akapitzlist"/>
              <w:widowControl w:val="0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zaznaczone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powyżej.</w:t>
            </w:r>
          </w:p>
          <w:p w14:paraId="75795770" w14:textId="35DAF8AF" w:rsidR="009D7AE1" w:rsidRPr="0052643B" w:rsidRDefault="009D7AE1" w:rsidP="0052643B">
            <w:pPr>
              <w:numPr>
                <w:ilvl w:val="3"/>
                <w:numId w:val="20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adalimumabem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etanerceptem),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spełniających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rozpoznania:</w:t>
            </w:r>
          </w:p>
          <w:p w14:paraId="55568B7C" w14:textId="698D502A" w:rsidR="00A857A0" w:rsidRPr="0052643B" w:rsidRDefault="009D7AE1" w:rsidP="0052643B">
            <w:pPr>
              <w:numPr>
                <w:ilvl w:val="4"/>
                <w:numId w:val="20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wielostawowej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młodzieńczego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idiopatycznego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(MIZS)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obrzękniętymi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ograniczonej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ruchomości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bolesnością,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przyspieszonym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normy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OB.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CRP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10-punktowej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wymienionymi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modyfikującymi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przebieg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choroby/lekami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immunosupresyjnymi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metotreksatem)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B1C6803" w14:textId="7107DA81" w:rsidR="009D7AE1" w:rsidRPr="0052643B" w:rsidRDefault="009D7AE1" w:rsidP="0052643B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</w:p>
          <w:p w14:paraId="3D6B4D83" w14:textId="69DE2F50" w:rsidR="00A857A0" w:rsidRPr="0052643B" w:rsidRDefault="009D7AE1" w:rsidP="0052643B">
            <w:pPr>
              <w:numPr>
                <w:ilvl w:val="4"/>
                <w:numId w:val="20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nielicznostawowej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rozszerzającej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przetrwałej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występujących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czynnikach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prognozy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ACR)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obecnością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obrzękniętych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ograniczoną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ruchomością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bolesnością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10-punktowej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towarzyszącym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bólem,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tkliwością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obiema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cechami,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wymienionymi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modyfikującymi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przebieg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choroby/lekami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immunosupresyjnymi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metotreksatem)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BCF0C8A" w14:textId="62156FEB" w:rsidR="009D7AE1" w:rsidRPr="0052643B" w:rsidRDefault="009D7AE1" w:rsidP="0052643B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120CE9D" w14:textId="51069946" w:rsidR="009D7AE1" w:rsidRPr="0052643B" w:rsidRDefault="009D7AE1" w:rsidP="0052643B">
            <w:pPr>
              <w:numPr>
                <w:ilvl w:val="4"/>
                <w:numId w:val="20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dominującym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zapaleniem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naczyniowej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niepoddającym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wymienionymi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modyfikującymi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przebieg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choroby/lekami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immunosupresyjnymi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metotreksatem)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każdym,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niezależnie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zajętych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stawów.</w:t>
            </w:r>
          </w:p>
          <w:p w14:paraId="12A35DFD" w14:textId="4296306B" w:rsidR="009D7AE1" w:rsidRPr="0052643B" w:rsidRDefault="0052643B" w:rsidP="0052643B">
            <w:pPr>
              <w:numPr>
                <w:ilvl w:val="3"/>
                <w:numId w:val="20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ciała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anakinrą)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rozpoznaniem:</w:t>
            </w:r>
          </w:p>
          <w:p w14:paraId="2CA06D7F" w14:textId="7E72B6A3" w:rsidR="00A857A0" w:rsidRPr="0052643B" w:rsidRDefault="009D7AE1" w:rsidP="0052643B">
            <w:pPr>
              <w:numPr>
                <w:ilvl w:val="4"/>
                <w:numId w:val="20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uogólnionym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(rozpoznanie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ILAR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1997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dominującymi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układowymi,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dawek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glikokortykosteroidów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(GKS)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(doustnie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1-2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mg/kg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m.c./dobę,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mg/dobę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metyloprednizolonu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10-30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mg/kg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m.c./wlew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ewentualnie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tygodnie)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utrzymuje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gorączka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utrzymują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układowe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rozumianej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więcej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10-punktowej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0597D9E" w14:textId="588976D3" w:rsidR="009D7AE1" w:rsidRPr="0052643B" w:rsidRDefault="009D7AE1" w:rsidP="0052643B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</w:p>
          <w:p w14:paraId="2434CD8C" w14:textId="0ACD5A2F" w:rsidR="009D7AE1" w:rsidRPr="0052643B" w:rsidRDefault="009D7AE1" w:rsidP="0052643B">
            <w:pPr>
              <w:numPr>
                <w:ilvl w:val="4"/>
                <w:numId w:val="20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uogólnionym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(rozpoznanie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ILAR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1997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towarzyszącą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gorączką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utrzymuje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niewystarczająco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odpowiada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GKS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niższej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0,5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mg/kg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m.c./dobę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(ewentualnie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podskórnej),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nietolerancji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metotreksatu,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modyfikującym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przebieg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choroby/lekiem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immunosupresyjnym,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miesiące.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8BE41B6" w14:textId="34B7AB61" w:rsidR="009D7AE1" w:rsidRPr="0052643B" w:rsidRDefault="009D7AE1" w:rsidP="0052643B">
            <w:pPr>
              <w:numPr>
                <w:ilvl w:val="3"/>
                <w:numId w:val="20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także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poddani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lekowego,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których:</w:t>
            </w:r>
          </w:p>
          <w:p w14:paraId="7C06783C" w14:textId="24A2FE40" w:rsidR="00A857A0" w:rsidRPr="0052643B" w:rsidRDefault="009D7AE1" w:rsidP="0052643B">
            <w:pPr>
              <w:numPr>
                <w:ilvl w:val="4"/>
                <w:numId w:val="20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uczuleniowa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5EBB264" w14:textId="219569BF" w:rsidR="009D7AE1" w:rsidRPr="0052643B" w:rsidRDefault="009D7AE1" w:rsidP="0052643B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63A9E3EB" w14:textId="151C8AB5" w:rsidR="00A857A0" w:rsidRPr="0052643B" w:rsidRDefault="009D7AE1" w:rsidP="0052643B">
            <w:pPr>
              <w:numPr>
                <w:ilvl w:val="4"/>
                <w:numId w:val="20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ustępują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E2786E9" w14:textId="1F3F8A50" w:rsidR="009D7AE1" w:rsidRPr="0052643B" w:rsidRDefault="009D7AE1" w:rsidP="0052643B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5D6F77A7" w14:textId="111ED40B" w:rsidR="009D7AE1" w:rsidRPr="0052643B" w:rsidRDefault="009D7AE1" w:rsidP="0052643B">
            <w:pPr>
              <w:numPr>
                <w:ilvl w:val="4"/>
                <w:numId w:val="20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definicją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niniejszego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lekowego).</w:t>
            </w:r>
          </w:p>
          <w:p w14:paraId="3B839BED" w14:textId="6D60AD99" w:rsidR="00A56095" w:rsidRPr="0052643B" w:rsidRDefault="00A56095" w:rsidP="0052643B">
            <w:pPr>
              <w:pStyle w:val="Akapitzlist"/>
              <w:numPr>
                <w:ilvl w:val="3"/>
                <w:numId w:val="20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anakinrą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także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uogólnionym,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poddani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najmniej:</w:t>
            </w:r>
          </w:p>
          <w:p w14:paraId="5E5C5EB5" w14:textId="699E4A86" w:rsidR="00946409" w:rsidRPr="0052643B" w:rsidRDefault="00A56095" w:rsidP="0052643B">
            <w:pPr>
              <w:pStyle w:val="Akapitzlist"/>
              <w:numPr>
                <w:ilvl w:val="5"/>
                <w:numId w:val="20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inhibitorami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TNF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alfa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301B075" w14:textId="5D070570" w:rsidR="00A56095" w:rsidRPr="0052643B" w:rsidRDefault="00946409" w:rsidP="0052643B">
            <w:pPr>
              <w:pStyle w:val="Akapitzlist"/>
              <w:spacing w:after="60" w:line="276" w:lineRule="auto"/>
              <w:ind w:left="680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A5609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2DB5EC8" w14:textId="6EB8F653" w:rsidR="00A56095" w:rsidRPr="0052643B" w:rsidRDefault="00A56095" w:rsidP="0052643B">
            <w:pPr>
              <w:pStyle w:val="Akapitzlist"/>
              <w:numPr>
                <w:ilvl w:val="5"/>
                <w:numId w:val="20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przeciwwskazane,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ponieważ:</w:t>
            </w:r>
          </w:p>
          <w:p w14:paraId="24CFF62D" w14:textId="0CCB965A" w:rsidR="00A56095" w:rsidRPr="0052643B" w:rsidRDefault="00A56095" w:rsidP="0052643B">
            <w:pPr>
              <w:pStyle w:val="Akapitzlist"/>
              <w:numPr>
                <w:ilvl w:val="6"/>
                <w:numId w:val="20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reakcja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uczuleniowa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pomocniczą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5923D5D1" w14:textId="710C6569" w:rsidR="00A56095" w:rsidRPr="0052643B" w:rsidRDefault="00A56095" w:rsidP="0052643B">
            <w:pPr>
              <w:pStyle w:val="Akapitzlist"/>
              <w:numPr>
                <w:ilvl w:val="6"/>
                <w:numId w:val="20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wystąpiły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ciężkie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uniemożliwiające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ustępują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mimo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dostosowywania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ChPL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ECE98FA" w14:textId="4017D3BC" w:rsidR="00A56095" w:rsidRPr="0052643B" w:rsidRDefault="00A56095" w:rsidP="0052643B">
            <w:pPr>
              <w:pStyle w:val="Akapitzlist"/>
              <w:numPr>
                <w:ilvl w:val="6"/>
                <w:numId w:val="20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utratę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definicją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niniejszego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lekowego).</w:t>
            </w:r>
          </w:p>
          <w:p w14:paraId="184E27CC" w14:textId="3BB94198" w:rsidR="009D7AE1" w:rsidRPr="0052643B" w:rsidRDefault="009D7AE1" w:rsidP="0052643B">
            <w:pPr>
              <w:numPr>
                <w:ilvl w:val="3"/>
                <w:numId w:val="20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kwalifikowani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również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pacjenci,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uprzednio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2E4B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2E4B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anakinrą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hospitalizacji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według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jednorodnych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(JGP)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warunkiem,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spełniali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spełnili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Reumatycznych.</w:t>
            </w:r>
          </w:p>
          <w:p w14:paraId="095986B1" w14:textId="385E2ECC" w:rsidR="009D7AE1" w:rsidRPr="0052643B" w:rsidRDefault="009D7AE1" w:rsidP="0052643B">
            <w:pPr>
              <w:numPr>
                <w:ilvl w:val="3"/>
                <w:numId w:val="20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rozpoznaniem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leczony,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zależności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ŁZS,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ZZSK.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odpowiada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prowadzone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MIZS.</w:t>
            </w:r>
          </w:p>
          <w:p w14:paraId="4A90F603" w14:textId="71D625E1" w:rsidR="009D7AE1" w:rsidRPr="0052643B" w:rsidRDefault="009D7AE1" w:rsidP="0052643B">
            <w:pPr>
              <w:numPr>
                <w:ilvl w:val="3"/>
                <w:numId w:val="20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był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leczony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przeszłości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nieskutecznie.</w:t>
            </w:r>
          </w:p>
          <w:p w14:paraId="363AB665" w14:textId="1F666C9C" w:rsidR="009D7AE1" w:rsidRPr="0052643B" w:rsidRDefault="009D7AE1" w:rsidP="0052643B">
            <w:pPr>
              <w:numPr>
                <w:ilvl w:val="3"/>
                <w:numId w:val="20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Koordynacyjnego,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programu.</w:t>
            </w:r>
          </w:p>
          <w:p w14:paraId="05740A5A" w14:textId="3F477F11" w:rsidR="009D7AE1" w:rsidRPr="0052643B" w:rsidRDefault="009D7AE1" w:rsidP="0052643B">
            <w:pPr>
              <w:numPr>
                <w:ilvl w:val="3"/>
                <w:numId w:val="20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przebieg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choroby/leków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immunosupresyjnych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wynoszą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dla: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10-20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mg/m²/tydzień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(maksymalnie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mg/tydzień),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sulfasalazyny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20-50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mg/kg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m.c./dobę,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cyklosporyny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3-5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mg/kg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m.c./dobę,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chlorochiny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(ewentualnie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hydroksychlorochiny)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4-6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mg/kg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m.c./dobę,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azatiopryny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1,0-2,5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mg/kg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m.c./dobę,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dobrze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tolerowane.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FBDC103" w14:textId="2D08FC25" w:rsidR="009D7AE1" w:rsidRPr="0052643B" w:rsidRDefault="009D7AE1" w:rsidP="0052643B">
            <w:pPr>
              <w:numPr>
                <w:ilvl w:val="3"/>
                <w:numId w:val="20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przypadkach,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których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pacjentowi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grozi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kalectwo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zagrożone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jego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życie,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decyzją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Zespołu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Koordynacyjnego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Spraw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Biologicznego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Chorobach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Reumatycznych,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pacjent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może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zakwalifikowany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biologicznego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niespełnienia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części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opisanych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programie,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jeśli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zgodne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aktualnie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obowiązującymi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rekomendacjami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wiedzą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medyczną.</w:t>
            </w:r>
          </w:p>
          <w:p w14:paraId="3DA27146" w14:textId="1220C366" w:rsidR="009D7AE1" w:rsidRPr="0052643B" w:rsidRDefault="009D7AE1" w:rsidP="0052643B">
            <w:pPr>
              <w:numPr>
                <w:ilvl w:val="3"/>
                <w:numId w:val="20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miesiączkujących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dziewcząt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urodzeń,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odbywa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biologiczne.</w:t>
            </w:r>
          </w:p>
          <w:p w14:paraId="1BE05476" w14:textId="77777777" w:rsidR="009D7AE1" w:rsidRPr="0052643B" w:rsidRDefault="009D7AE1" w:rsidP="0052643B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14F808" w14:textId="3E7633E8" w:rsidR="009D7AE1" w:rsidRPr="0052643B" w:rsidRDefault="009D7AE1" w:rsidP="0052643B">
            <w:pPr>
              <w:numPr>
                <w:ilvl w:val="0"/>
                <w:numId w:val="20"/>
              </w:numPr>
              <w:tabs>
                <w:tab w:val="left" w:pos="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stanowiące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przeciwwskazania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kwalifikacji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277BF11F" w14:textId="3A6658D6" w:rsidR="009D7AE1" w:rsidRPr="0052643B" w:rsidRDefault="009D7AE1" w:rsidP="0052643B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Przeciwwskazania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udziału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wynikają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przeciwwskazań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określonych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Charakterystykach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Produktów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Leczniczych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poszczególnych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substancji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czynnych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ujętych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lekowym,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uwzględnieniem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rekomendacji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EULAR/ACR.</w:t>
            </w:r>
          </w:p>
          <w:p w14:paraId="58DDFE2A" w14:textId="77777777" w:rsidR="009D7AE1" w:rsidRPr="0052643B" w:rsidRDefault="009D7AE1" w:rsidP="0052643B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C6B2C" w14:textId="3D1DA363" w:rsidR="009D7AE1" w:rsidRPr="0052643B" w:rsidRDefault="009D7AE1" w:rsidP="0052643B">
            <w:pPr>
              <w:numPr>
                <w:ilvl w:val="0"/>
                <w:numId w:val="20"/>
              </w:numPr>
              <w:tabs>
                <w:tab w:val="left" w:pos="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programie</w:t>
            </w:r>
          </w:p>
          <w:p w14:paraId="75584F9F" w14:textId="4A13EA00" w:rsidR="009D7AE1" w:rsidRPr="0052643B" w:rsidRDefault="009D7AE1" w:rsidP="0052643B">
            <w:pPr>
              <w:numPr>
                <w:ilvl w:val="3"/>
                <w:numId w:val="20"/>
              </w:numPr>
              <w:tabs>
                <w:tab w:val="left" w:pos="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programie.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3DE2B71" w14:textId="09FC0522" w:rsidR="009D7AE1" w:rsidRPr="0052643B" w:rsidRDefault="009D7AE1" w:rsidP="0052643B">
            <w:pPr>
              <w:numPr>
                <w:ilvl w:val="3"/>
                <w:numId w:val="20"/>
              </w:numPr>
              <w:tabs>
                <w:tab w:val="left" w:pos="0"/>
              </w:tabs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0BD" w:rsidRPr="0052643B">
              <w:rPr>
                <w:rFonts w:ascii="Times New Roman" w:hAnsi="Times New Roman" w:cs="Times New Roman"/>
                <w:sz w:val="20"/>
                <w:szCs w:val="20"/>
              </w:rPr>
              <w:t>istotnej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czasowej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przerwy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leczeniu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daną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substancją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czynną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schemat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ulega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0BD" w:rsidRPr="0052643B">
              <w:rPr>
                <w:rFonts w:ascii="Times New Roman" w:hAnsi="Times New Roman" w:cs="Times New Roman"/>
                <w:sz w:val="20"/>
                <w:szCs w:val="20"/>
              </w:rPr>
              <w:t>modyfikacji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0BD" w:rsidRPr="0052643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0BD" w:rsidRPr="0052643B">
              <w:rPr>
                <w:rFonts w:ascii="Times New Roman" w:hAnsi="Times New Roman" w:cs="Times New Roman"/>
                <w:sz w:val="20"/>
                <w:szCs w:val="20"/>
              </w:rPr>
              <w:t>uwzględnieniem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  <w:r w:rsidR="008A20BD" w:rsidRPr="0052643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przerwy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podawaniu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leku.</w:t>
            </w:r>
          </w:p>
          <w:p w14:paraId="6D356437" w14:textId="39A15D29" w:rsidR="009D7AE1" w:rsidRPr="0052643B" w:rsidRDefault="009D7AE1" w:rsidP="0052643B">
            <w:pPr>
              <w:numPr>
                <w:ilvl w:val="3"/>
                <w:numId w:val="20"/>
              </w:numPr>
              <w:tabs>
                <w:tab w:val="left" w:pos="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będący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ukończył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pediatrycznym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realizującym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ukończenia,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jednak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dłużej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ukończenia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życia,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NFZ.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4528DD7" w14:textId="77777777" w:rsidR="009D7AE1" w:rsidRPr="0052643B" w:rsidRDefault="009D7AE1" w:rsidP="0052643B">
            <w:pPr>
              <w:tabs>
                <w:tab w:val="left" w:pos="0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182E52" w14:textId="777B9305" w:rsidR="009D7AE1" w:rsidRPr="0052643B" w:rsidRDefault="00437CEE" w:rsidP="0052643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89535" distR="0" simplePos="0" relativeHeight="251659264" behindDoc="0" locked="0" layoutInCell="1" allowOverlap="1" wp14:anchorId="6F9A1FFA" wp14:editId="06C9AFD6">
                      <wp:simplePos x="0" y="0"/>
                      <wp:positionH relativeFrom="page">
                        <wp:posOffset>6644640</wp:posOffset>
                      </wp:positionH>
                      <wp:positionV relativeFrom="paragraph">
                        <wp:posOffset>-41275</wp:posOffset>
                      </wp:positionV>
                      <wp:extent cx="5080" cy="64135"/>
                      <wp:effectExtent l="0" t="0" r="0" b="0"/>
                      <wp:wrapSquare wrapText="largest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" cy="64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76A935" w14:textId="77777777" w:rsidR="00251138" w:rsidRDefault="00251138" w:rsidP="009D7AE1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A1F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523.2pt;margin-top:-3.25pt;width:.4pt;height:5.05pt;z-index:25165926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" stroked="f">
                      <v:fill opacity="0"/>
                      <v:textbox inset="0,0,0,0">
                        <w:txbxContent>
                          <w:p w14:paraId="6F76A935" w14:textId="77777777" w:rsidR="00251138" w:rsidRDefault="00251138" w:rsidP="009D7AE1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  <w:r w:rsidRPr="0052643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89535" distR="0" simplePos="0" relativeHeight="251660288" behindDoc="0" locked="0" layoutInCell="1" allowOverlap="1" wp14:anchorId="026B5B85" wp14:editId="6BA2A853">
                      <wp:simplePos x="0" y="0"/>
                      <wp:positionH relativeFrom="page">
                        <wp:posOffset>6644640</wp:posOffset>
                      </wp:positionH>
                      <wp:positionV relativeFrom="paragraph">
                        <wp:posOffset>-41275</wp:posOffset>
                      </wp:positionV>
                      <wp:extent cx="5080" cy="64135"/>
                      <wp:effectExtent l="0" t="0" r="0" b="0"/>
                      <wp:wrapSquare wrapText="largest"/>
                      <wp:docPr id="1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" cy="64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92C4BD" w14:textId="77777777" w:rsidR="00251138" w:rsidRDefault="00251138" w:rsidP="009D7AE1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B5B85" id="Pole tekstowe 1" o:spid="_x0000_s1027" type="#_x0000_t202" style="position:absolute;left:0;text-align:left;margin-left:523.2pt;margin-top:-3.25pt;width:.4pt;height:5.05pt;z-index:25166028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" stroked="f">
                      <v:fill opacity="0"/>
                      <v:textbox inset="0,0,0,0">
                        <w:txbxContent>
                          <w:p w14:paraId="3F92C4BD" w14:textId="77777777" w:rsidR="00251138" w:rsidRDefault="00251138" w:rsidP="009D7AE1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  <w:r w:rsidR="009D7AE1"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wyłączenia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60B5E8FD" w14:textId="1A0E037B" w:rsidR="009D7AE1" w:rsidRPr="0052643B" w:rsidRDefault="00CB2BED" w:rsidP="0052643B">
            <w:pPr>
              <w:numPr>
                <w:ilvl w:val="3"/>
                <w:numId w:val="20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rak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czynną.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odpowiedź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definiujemy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jako:</w:t>
            </w:r>
          </w:p>
          <w:p w14:paraId="3DB80CA6" w14:textId="01119ADA" w:rsidR="009D7AE1" w:rsidRPr="0052643B" w:rsidRDefault="009D7AE1" w:rsidP="0052643B">
            <w:pPr>
              <w:numPr>
                <w:ilvl w:val="4"/>
                <w:numId w:val="20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30%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wyjściowych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według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Gianniniego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rozpoznaniem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dominującymi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stawów,</w:t>
            </w:r>
          </w:p>
          <w:p w14:paraId="58CA14DE" w14:textId="101F3250" w:rsidR="009D7AE1" w:rsidRPr="0052643B" w:rsidRDefault="009D7AE1" w:rsidP="0052643B">
            <w:pPr>
              <w:numPr>
                <w:ilvl w:val="4"/>
                <w:numId w:val="20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ustąpienie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układowych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rozpoznaniem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dominującymi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objawami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układowymi</w:t>
            </w:r>
            <w:r w:rsidR="00CB2BED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B8F7D4F" w14:textId="190C94B1" w:rsidR="009D7AE1" w:rsidRPr="0052643B" w:rsidRDefault="00CB2BED" w:rsidP="0052643B">
            <w:pPr>
              <w:numPr>
                <w:ilvl w:val="3"/>
                <w:numId w:val="20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trata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AC738C9" w14:textId="3D4499B6" w:rsidR="009D7AE1" w:rsidRPr="0052643B" w:rsidRDefault="00CB2BED" w:rsidP="0052643B">
            <w:pPr>
              <w:numPr>
                <w:ilvl w:val="3"/>
                <w:numId w:val="20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iespełnienie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kryteriów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poprawy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ACR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Pediatric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po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pierwszych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miesiącach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(±</w:t>
            </w:r>
            <w:r w:rsidR="00251138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51138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miesiąc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leczenia,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więc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nieuzyskanie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przynajmniej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50-procentowej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poprawy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następujących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parametrów,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przy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jednoczesnym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braku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pogorszenia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50%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więcej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niż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jednym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poniższych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parametrów:</w:t>
            </w:r>
          </w:p>
          <w:p w14:paraId="37DA3EE0" w14:textId="50A2A28E" w:rsidR="009D7AE1" w:rsidRPr="0052643B" w:rsidRDefault="009D7AE1" w:rsidP="0052643B">
            <w:pPr>
              <w:numPr>
                <w:ilvl w:val="4"/>
                <w:numId w:val="20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liczba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stawów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czynnym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zapaleniem;</w:t>
            </w:r>
          </w:p>
          <w:p w14:paraId="4AAAF8A2" w14:textId="3B7156FA" w:rsidR="009D7AE1" w:rsidRPr="0052643B" w:rsidRDefault="009D7AE1" w:rsidP="0052643B">
            <w:pPr>
              <w:numPr>
                <w:ilvl w:val="4"/>
                <w:numId w:val="20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liczba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stawów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ograniczeniem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ruchomości;</w:t>
            </w:r>
          </w:p>
          <w:p w14:paraId="1C112FDA" w14:textId="5B333D62" w:rsidR="009D7AE1" w:rsidRPr="0052643B" w:rsidRDefault="009D7AE1" w:rsidP="0052643B">
            <w:pPr>
              <w:numPr>
                <w:ilvl w:val="4"/>
                <w:numId w:val="20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ocena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aktywności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choroby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dokonana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przez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lekarza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10-centymetrowej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skali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VAS;</w:t>
            </w:r>
          </w:p>
          <w:p w14:paraId="5A657F3B" w14:textId="6A5A97ED" w:rsidR="009D7AE1" w:rsidRPr="0052643B" w:rsidRDefault="009D7AE1" w:rsidP="0052643B">
            <w:pPr>
              <w:numPr>
                <w:ilvl w:val="4"/>
                <w:numId w:val="20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ocena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ogólnego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samopoczucia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dokonana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przez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rodzica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chore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dziecko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10-centymetrowej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skali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VAS;</w:t>
            </w:r>
          </w:p>
          <w:p w14:paraId="02CEEDC1" w14:textId="4D298E4D" w:rsidR="009D7AE1" w:rsidRPr="0052643B" w:rsidRDefault="009D7AE1" w:rsidP="0052643B">
            <w:pPr>
              <w:numPr>
                <w:ilvl w:val="4"/>
                <w:numId w:val="20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wskaźnik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stanu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funkcjonalnego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dziecka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(np.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CHAQ);</w:t>
            </w:r>
          </w:p>
          <w:p w14:paraId="5783A721" w14:textId="342EDFE7" w:rsidR="009D7AE1" w:rsidRPr="0052643B" w:rsidRDefault="009D7AE1" w:rsidP="0052643B">
            <w:pPr>
              <w:numPr>
                <w:ilvl w:val="4"/>
                <w:numId w:val="20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laboratoryjny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wskaźnik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ostrej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fazy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(OB.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526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643B">
              <w:rPr>
                <w:rFonts w:ascii="Times New Roman" w:hAnsi="Times New Roman" w:cs="Times New Roman"/>
                <w:bCs/>
                <w:sz w:val="20"/>
                <w:szCs w:val="20"/>
              </w:rPr>
              <w:t>CRP).</w:t>
            </w:r>
          </w:p>
          <w:p w14:paraId="70AF88A9" w14:textId="3DA6D1DC" w:rsidR="009D7AE1" w:rsidRPr="0052643B" w:rsidRDefault="00CB2BED" w:rsidP="0052643B">
            <w:pPr>
              <w:numPr>
                <w:ilvl w:val="3"/>
                <w:numId w:val="20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trata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kryteriów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poprawy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ACR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Pediatric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C2ABD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C2ABD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nawrót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C2ABD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czynnych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C2ABD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objawów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C2ABD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układowych,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trakcie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dwóch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kolejnych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wizyt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monitorujących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każdych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kolejnych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miesiącach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(±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miesiąc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2F6847AE" w14:textId="232D1D3F" w:rsidR="009D7AE1" w:rsidRPr="0052643B" w:rsidRDefault="00CB2BED" w:rsidP="0052643B">
            <w:pPr>
              <w:numPr>
                <w:ilvl w:val="3"/>
                <w:numId w:val="20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pacjentów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zakwalifikowanych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podstawie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pkt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ppkt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2c)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(MIZS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dominującym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zapaleniem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błony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naczyniowej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oka)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niespełniających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jednocześnie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kryteriów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kwalifikacji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określonych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pkt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ppkt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2a)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2b)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3a)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3b)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brak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uzyskania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istotnej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klinicznie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poprawy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zakresie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zapalenia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błony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naczyniowej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pierwszych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miesiącach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(±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miesiąc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potwierdzonej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badaniem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okulistycznym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brak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utrzymywani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istotnej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klinicznie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poprawy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każdych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kolejnych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E5655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miesiącach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0E4233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±1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miesiąc)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E929A4E" w14:textId="7C9F38A0" w:rsidR="009D7AE1" w:rsidRPr="0052643B" w:rsidRDefault="00CB2BED" w:rsidP="0052643B">
            <w:pPr>
              <w:numPr>
                <w:ilvl w:val="3"/>
                <w:numId w:val="20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ystąpienie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działań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niepożądanych,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które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opinii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lekarza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prowadzącego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Charakterystyką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Produktu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Leczniczego,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którym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prowadzona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terapia,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przeciwwskazaniami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substancją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czynną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6869717C" w14:textId="37056CA5" w:rsidR="009D7AE1" w:rsidRPr="0052643B" w:rsidRDefault="00CB2BED" w:rsidP="0052643B">
            <w:pPr>
              <w:numPr>
                <w:ilvl w:val="3"/>
                <w:numId w:val="20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643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ekarz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prowadzący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może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zwrócić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Zespołu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Koordynacyjnego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Spraw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Biologicznego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Chorobach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Reumatycznych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wyrażenie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zgody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kontynuację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daną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substancją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czynną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uzasadnionych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sytuacjach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klinicznych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niespełnienia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chorego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poprawy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ACR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Pediatric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ppkt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szczególnie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pacjentów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wyjściową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bardzo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dużą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aktywnością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i/lub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występowaniem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czynników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złej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prognozy.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zgody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Zespołu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Koordynacyjnego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dalsze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daną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substancją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czynną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przypadku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niespełnienia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ACR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Pediatric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miesiącach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233" w:rsidRPr="005264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4233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±1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4233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miesiąc)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AE1" w:rsidRPr="0052643B">
              <w:rPr>
                <w:rFonts w:ascii="Times New Roman" w:hAnsi="Times New Roman" w:cs="Times New Roman"/>
                <w:sz w:val="20"/>
                <w:szCs w:val="20"/>
              </w:rPr>
              <w:t>możliwe.</w:t>
            </w:r>
          </w:p>
          <w:p w14:paraId="30339B5B" w14:textId="05323A81" w:rsidR="009D7AE1" w:rsidRDefault="009D7AE1" w:rsidP="0052643B">
            <w:pPr>
              <w:suppressAutoHyphens/>
              <w:spacing w:after="6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2FB1AC9" w14:textId="263F8C81" w:rsidR="00350537" w:rsidRDefault="00350537" w:rsidP="0052643B">
            <w:pPr>
              <w:suppressAutoHyphens/>
              <w:spacing w:after="6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EFDF186" w14:textId="77777777" w:rsidR="00350537" w:rsidRPr="0052643B" w:rsidRDefault="00350537" w:rsidP="0052643B">
            <w:pPr>
              <w:suppressAutoHyphens/>
              <w:spacing w:after="6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6DBCED2" w14:textId="327CCE5B" w:rsidR="009D7AE1" w:rsidRPr="0052643B" w:rsidRDefault="009D7AE1" w:rsidP="0052643B">
            <w:pPr>
              <w:keepNext/>
              <w:numPr>
                <w:ilvl w:val="0"/>
                <w:numId w:val="20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Kryteria</w:t>
            </w:r>
            <w:r w:rsid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ponownego</w:t>
            </w:r>
            <w:r w:rsid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włączenia</w:t>
            </w:r>
            <w:r w:rsid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programu</w:t>
            </w:r>
          </w:p>
          <w:p w14:paraId="799A232E" w14:textId="4BFD589F" w:rsidR="009D7AE1" w:rsidRPr="0052643B" w:rsidRDefault="009D7AE1" w:rsidP="0052643B">
            <w:pPr>
              <w:numPr>
                <w:ilvl w:val="3"/>
                <w:numId w:val="20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Pacjent,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którego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zaprzestano,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pkt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ppkt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podawania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substancji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czynnej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biologicznego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zastosowanej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zapisami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trakcie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stwierdzono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nawrót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definiowanej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utrzymywania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ACR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Pediatric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włączany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kwalifikacji.</w:t>
            </w:r>
          </w:p>
          <w:p w14:paraId="76301FD9" w14:textId="41EBBA2A" w:rsidR="006C2ABD" w:rsidRPr="0052643B" w:rsidRDefault="006C2ABD" w:rsidP="0052643B">
            <w:pPr>
              <w:pStyle w:val="Akapitzlist"/>
              <w:numPr>
                <w:ilvl w:val="3"/>
                <w:numId w:val="20"/>
              </w:numPr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Pacjent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MIZS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początku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uogólnionym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włączany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ponownie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przypadku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nawrotu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czynnych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objawów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układowych.</w:t>
            </w:r>
          </w:p>
          <w:p w14:paraId="29449433" w14:textId="0C8D3D48" w:rsidR="009D7AE1" w:rsidRPr="0052643B" w:rsidRDefault="009D7AE1" w:rsidP="0052643B">
            <w:pPr>
              <w:numPr>
                <w:ilvl w:val="3"/>
                <w:numId w:val="20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Pacjent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włączany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ponownego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substancją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czynną,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której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zastosowanie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spowodowało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spełnienie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kryteriów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poprawy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ACR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Pediatric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C2ABD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C2ABD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ustąpienie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C2ABD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objawów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C2ABD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układowych.</w:t>
            </w:r>
          </w:p>
          <w:p w14:paraId="46F61F00" w14:textId="58C8A51D" w:rsidR="009D7AE1" w:rsidRPr="0052643B" w:rsidRDefault="009D7AE1" w:rsidP="0052643B">
            <w:pPr>
              <w:numPr>
                <w:ilvl w:val="3"/>
                <w:numId w:val="20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ponownie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włączony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zaprzestano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wymienionej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powodu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działań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niepożądanych,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ustąpiły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odstawieniu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bądź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zastosowanym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opinii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prowadzącego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powrót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ryzyka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pacjenta.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B101EDC" w14:textId="77777777" w:rsidR="00CB2AC0" w:rsidRPr="0052643B" w:rsidRDefault="00CB2AC0" w:rsidP="0052643B">
            <w:pPr>
              <w:suppressAutoHyphens/>
              <w:spacing w:after="6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94" w:type="dxa"/>
            <w:tcBorders>
              <w:top w:val="single" w:sz="4" w:space="0" w:color="auto"/>
              <w:bottom w:val="single" w:sz="4" w:space="0" w:color="auto"/>
            </w:tcBorders>
          </w:tcPr>
          <w:p w14:paraId="647CD249" w14:textId="53254F13" w:rsidR="009D7AE1" w:rsidRPr="0052643B" w:rsidRDefault="009D7AE1" w:rsidP="0052643B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Dawkowanie</w:t>
            </w:r>
          </w:p>
          <w:p w14:paraId="239C17CF" w14:textId="7E313CCB" w:rsidR="009D7AE1" w:rsidRPr="0052643B" w:rsidRDefault="009D7AE1" w:rsidP="0052643B">
            <w:pPr>
              <w:widowControl w:val="0"/>
              <w:numPr>
                <w:ilvl w:val="3"/>
                <w:numId w:val="2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Adalimumab,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etanercept</w:t>
            </w:r>
            <w:r w:rsidR="00CC1E7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6A59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6A59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6A59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E7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1E7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anakinrę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dawkowaniem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Produktu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Leczniczego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EULAR/ACR</w:t>
            </w:r>
            <w:r w:rsidR="00026AEE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6AEE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zmniejszenia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wydłużenia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odstępu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pomiędzy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dawkami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AEE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terapii.</w:t>
            </w:r>
          </w:p>
          <w:p w14:paraId="475CF274" w14:textId="32159D90" w:rsidR="00CB2BED" w:rsidRPr="0052643B" w:rsidRDefault="009D7AE1" w:rsidP="0052643B">
            <w:pPr>
              <w:widowControl w:val="0"/>
              <w:numPr>
                <w:ilvl w:val="3"/>
                <w:numId w:val="2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Powyższe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skutecznej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klinicznie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tolerowanej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chyba,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występują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metotreksatu.</w:t>
            </w:r>
          </w:p>
          <w:p w14:paraId="364A1925" w14:textId="50CFA680" w:rsidR="009D7AE1" w:rsidRPr="0052643B" w:rsidRDefault="009D7AE1" w:rsidP="0052643B">
            <w:pPr>
              <w:pStyle w:val="Akapitzlist"/>
              <w:widowControl w:val="0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przeciwwskazań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metotreksatu,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rozważyć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podawanie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adalimumabu,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etanerceptu</w:t>
            </w:r>
            <w:r w:rsidR="00CC1E7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1E7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1E7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anakinry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innym,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wymienionym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modyfikującym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przebieg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</w:t>
            </w:r>
            <w:r w:rsidR="00A30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A30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immunosupresyjnym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obowiązującej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dawce.</w:t>
            </w:r>
          </w:p>
          <w:p w14:paraId="53B37C14" w14:textId="77777777" w:rsidR="009D7AE1" w:rsidRPr="0052643B" w:rsidRDefault="009D7AE1" w:rsidP="0052643B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EABA" w14:textId="3A0E549F" w:rsidR="009D7AE1" w:rsidRPr="0052643B" w:rsidRDefault="00417414" w:rsidP="0052643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Badania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kwalifikacji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0958A4C9" w14:textId="0F8C501E" w:rsidR="009D7AE1" w:rsidRPr="0052643B" w:rsidRDefault="009D7AE1" w:rsidP="0052643B">
            <w:pPr>
              <w:numPr>
                <w:ilvl w:val="3"/>
                <w:numId w:val="2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tuberkulinowa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Quantiferon;</w:t>
            </w:r>
          </w:p>
          <w:p w14:paraId="28B663E0" w14:textId="36DA7AA6" w:rsidR="009D7AE1" w:rsidRPr="0052643B" w:rsidRDefault="009D7AE1" w:rsidP="0052643B">
            <w:pPr>
              <w:numPr>
                <w:ilvl w:val="3"/>
                <w:numId w:val="2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antygenu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HBs;</w:t>
            </w:r>
          </w:p>
          <w:p w14:paraId="78224C55" w14:textId="732A2E31" w:rsidR="009D7AE1" w:rsidRPr="0052643B" w:rsidRDefault="009D7AE1" w:rsidP="0052643B">
            <w:pPr>
              <w:numPr>
                <w:ilvl w:val="3"/>
                <w:numId w:val="2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przeciwciała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anty-HCV;</w:t>
            </w:r>
          </w:p>
          <w:p w14:paraId="56D74F6A" w14:textId="2C2D0331" w:rsidR="009D7AE1" w:rsidRPr="0052643B" w:rsidRDefault="009D7AE1" w:rsidP="0052643B">
            <w:pPr>
              <w:numPr>
                <w:ilvl w:val="3"/>
                <w:numId w:val="2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A30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antygen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 w:rsidRPr="00A30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wirusa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HIV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(HIV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Ag/Ab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Combo);</w:t>
            </w:r>
          </w:p>
          <w:p w14:paraId="1D0E7D23" w14:textId="5B2CCE5E" w:rsidR="009D7AE1" w:rsidRPr="0052643B" w:rsidRDefault="009D7AE1" w:rsidP="0052643B">
            <w:pPr>
              <w:numPr>
                <w:ilvl w:val="3"/>
                <w:numId w:val="2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klatki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piersiowej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(maksymalnie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kwalifikacją);</w:t>
            </w:r>
          </w:p>
          <w:p w14:paraId="4FE36335" w14:textId="385ABF34" w:rsidR="004144A9" w:rsidRPr="0052643B" w:rsidRDefault="009D7AE1" w:rsidP="0052643B">
            <w:pPr>
              <w:numPr>
                <w:ilvl w:val="3"/>
                <w:numId w:val="2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EKG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opisem.</w:t>
            </w:r>
          </w:p>
          <w:p w14:paraId="6161CAA2" w14:textId="3C799489" w:rsidR="004144A9" w:rsidRPr="0052643B" w:rsidRDefault="009D7AE1" w:rsidP="0052643B">
            <w:pPr>
              <w:numPr>
                <w:ilvl w:val="3"/>
                <w:numId w:val="2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kwalifikowania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="0052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003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003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anakinrą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bezwzględnej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granulocytów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obojętnochłonnych;</w:t>
            </w:r>
          </w:p>
          <w:p w14:paraId="7FA795A5" w14:textId="2F0FE2F7" w:rsidR="004144A9" w:rsidRPr="0052643B" w:rsidRDefault="009D7AE1" w:rsidP="0052643B">
            <w:pPr>
              <w:numPr>
                <w:ilvl w:val="3"/>
                <w:numId w:val="2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płytki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(PLT);</w:t>
            </w:r>
          </w:p>
          <w:p w14:paraId="5B24D140" w14:textId="53E3810C" w:rsidR="004144A9" w:rsidRPr="0052643B" w:rsidRDefault="009D7AE1" w:rsidP="0052643B">
            <w:pPr>
              <w:numPr>
                <w:ilvl w:val="3"/>
                <w:numId w:val="2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Biernackiego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(OB);</w:t>
            </w:r>
          </w:p>
          <w:p w14:paraId="2E7C7D43" w14:textId="0F1E4E04" w:rsidR="004144A9" w:rsidRPr="0052643B" w:rsidRDefault="009D7AE1" w:rsidP="0052643B">
            <w:pPr>
              <w:numPr>
                <w:ilvl w:val="3"/>
                <w:numId w:val="2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C-reaktywnego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(CRP);</w:t>
            </w:r>
          </w:p>
          <w:p w14:paraId="78DE3439" w14:textId="7DB406E5" w:rsidR="004144A9" w:rsidRPr="0052643B" w:rsidRDefault="009D7AE1" w:rsidP="0052643B">
            <w:pPr>
              <w:numPr>
                <w:ilvl w:val="3"/>
                <w:numId w:val="2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kreatyniny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surowicy;</w:t>
            </w:r>
          </w:p>
          <w:p w14:paraId="7F867A72" w14:textId="12C84D2D" w:rsidR="004144A9" w:rsidRPr="0052643B" w:rsidRDefault="009D7AE1" w:rsidP="0052643B">
            <w:pPr>
              <w:numPr>
                <w:ilvl w:val="3"/>
                <w:numId w:val="2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asparaginianowa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(AspAT);</w:t>
            </w:r>
          </w:p>
          <w:p w14:paraId="65145E79" w14:textId="760E43AC" w:rsidR="004144A9" w:rsidRPr="0052643B" w:rsidRDefault="009D7AE1" w:rsidP="0052643B">
            <w:pPr>
              <w:numPr>
                <w:ilvl w:val="3"/>
                <w:numId w:val="2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aminotransferaza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alaninowa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(AlAT);</w:t>
            </w:r>
          </w:p>
          <w:p w14:paraId="597939EC" w14:textId="180ACD33" w:rsidR="004144A9" w:rsidRPr="0052643B" w:rsidRDefault="009D7AE1" w:rsidP="0052643B">
            <w:pPr>
              <w:numPr>
                <w:ilvl w:val="3"/>
                <w:numId w:val="2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moczu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lekarza);</w:t>
            </w:r>
          </w:p>
          <w:p w14:paraId="1AAFF724" w14:textId="57D40593" w:rsidR="009D7AE1" w:rsidRPr="0052643B" w:rsidRDefault="009D7AE1" w:rsidP="0052643B">
            <w:pPr>
              <w:numPr>
                <w:ilvl w:val="3"/>
                <w:numId w:val="2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cholesterolu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całkowitego,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LDL,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HDL,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trójglicerydów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kwalifikowanych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BA8E2D6" w14:textId="77777777" w:rsidR="009D7AE1" w:rsidRPr="0052643B" w:rsidRDefault="009D7AE1" w:rsidP="0052643B">
            <w:pPr>
              <w:spacing w:after="60" w:line="276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91325E0" w14:textId="5F9DE02C" w:rsidR="009D7AE1" w:rsidRPr="0052643B" w:rsidRDefault="009D7AE1" w:rsidP="0052643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Monitorowanie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leczenia</w:t>
            </w:r>
          </w:p>
          <w:p w14:paraId="7EA0DF35" w14:textId="205F3F31" w:rsidR="009D7AE1" w:rsidRPr="0052643B" w:rsidRDefault="009D7AE1" w:rsidP="0052643B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ar-SA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pierwszych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sześciu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substancją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czynną,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wymienione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rzadziej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):</w:t>
            </w:r>
          </w:p>
          <w:p w14:paraId="7C9FF67A" w14:textId="32BDB756" w:rsidR="009D7AE1" w:rsidRPr="0052643B" w:rsidRDefault="009D7AE1" w:rsidP="0052643B">
            <w:pPr>
              <w:numPr>
                <w:ilvl w:val="3"/>
                <w:numId w:val="24"/>
              </w:numPr>
              <w:suppressAutoHyphens/>
              <w:spacing w:after="60"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morfologia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krwi,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przypadku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leczonych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tocilizumabem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postaci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dożylnej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003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003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anakinrą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rozmazem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bezwzględnej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liczby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granulocytów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obojętnochłonnych;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FBF9AD6" w14:textId="70CF9D26" w:rsidR="009D7AE1" w:rsidRPr="0052643B" w:rsidRDefault="009D7AE1" w:rsidP="0052643B">
            <w:pPr>
              <w:numPr>
                <w:ilvl w:val="3"/>
                <w:numId w:val="24"/>
              </w:numPr>
              <w:suppressAutoHyphens/>
              <w:spacing w:after="60"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odczyn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Biernackiego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(OB);</w:t>
            </w:r>
          </w:p>
          <w:p w14:paraId="14A3C89B" w14:textId="75976AEB" w:rsidR="009D7AE1" w:rsidRPr="0052643B" w:rsidRDefault="009D7AE1" w:rsidP="0052643B">
            <w:pPr>
              <w:numPr>
                <w:ilvl w:val="3"/>
                <w:numId w:val="24"/>
              </w:numPr>
              <w:suppressAutoHyphens/>
              <w:spacing w:after="60"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stężenie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białka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C-reaktywnego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(CRP);</w:t>
            </w:r>
          </w:p>
          <w:p w14:paraId="6A539302" w14:textId="0A2D73E5" w:rsidR="009D7AE1" w:rsidRPr="0052643B" w:rsidRDefault="009D7AE1" w:rsidP="0052643B">
            <w:pPr>
              <w:numPr>
                <w:ilvl w:val="3"/>
                <w:numId w:val="24"/>
              </w:numPr>
              <w:suppressAutoHyphens/>
              <w:spacing w:after="60"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stężenie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kreatyniny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surowicy;</w:t>
            </w:r>
          </w:p>
          <w:p w14:paraId="233BB67A" w14:textId="627DC509" w:rsidR="009D7AE1" w:rsidRPr="0052643B" w:rsidRDefault="009D7AE1" w:rsidP="0052643B">
            <w:pPr>
              <w:numPr>
                <w:ilvl w:val="3"/>
                <w:numId w:val="24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AspAT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AlAT;</w:t>
            </w:r>
          </w:p>
          <w:p w14:paraId="44D43EBC" w14:textId="496B8329" w:rsidR="009D7AE1" w:rsidRPr="0052643B" w:rsidRDefault="009D7AE1" w:rsidP="0052643B">
            <w:pPr>
              <w:numPr>
                <w:ilvl w:val="3"/>
                <w:numId w:val="24"/>
              </w:numPr>
              <w:suppressAutoHyphens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stężenie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cholesterolu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całkowitego,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LDL,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HDL,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trójglicerydów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-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u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pacjentów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leczonych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tocilizumabem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postaci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7286"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dożylnej</w:t>
            </w:r>
          </w:p>
          <w:p w14:paraId="1D779907" w14:textId="3460684B" w:rsidR="009D7AE1" w:rsidRPr="0052643B" w:rsidRDefault="009D7AE1" w:rsidP="0052643B">
            <w:pPr>
              <w:pStyle w:val="Akapitzlist"/>
              <w:suppressAutoHyphens/>
              <w:spacing w:after="60" w:line="276" w:lineRule="auto"/>
              <w:ind w:left="227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dokonać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oceny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skuteczności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zastosowanej</w:t>
            </w:r>
            <w:r w:rsid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Batang" w:hAnsi="Times New Roman" w:cs="Times New Roman"/>
                <w:sz w:val="20"/>
                <w:szCs w:val="20"/>
                <w:lang w:eastAsia="pl-PL"/>
              </w:rPr>
              <w:t>terapii.</w:t>
            </w:r>
          </w:p>
          <w:p w14:paraId="10365625" w14:textId="31A3DDFA" w:rsidR="009D7AE1" w:rsidRPr="0052643B" w:rsidRDefault="009D7AE1" w:rsidP="0052643B">
            <w:pPr>
              <w:pStyle w:val="Akapitzlist"/>
              <w:suppressAutoHyphens/>
              <w:spacing w:after="60" w:line="276" w:lineRule="auto"/>
              <w:ind w:left="227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kontynuowana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powyższe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powtarzać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kolejnych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794E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794E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(±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1138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14:paraId="0F93908D" w14:textId="77777777" w:rsidR="009D7AE1" w:rsidRPr="0052643B" w:rsidRDefault="009D7AE1" w:rsidP="0052643B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14:paraId="2B1D3329" w14:textId="47C340BC" w:rsidR="009D7AE1" w:rsidRPr="0052643B" w:rsidRDefault="009D7AE1" w:rsidP="0052643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Monitorowanie</w:t>
            </w:r>
            <w:r w:rsid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1A407FBE" w14:textId="0EFE01E3" w:rsidR="009D7AE1" w:rsidRPr="0052643B" w:rsidRDefault="00F650EC" w:rsidP="0052643B">
            <w:pPr>
              <w:numPr>
                <w:ilvl w:val="3"/>
                <w:numId w:val="2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romadzenie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pacjenta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dotyczących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żądanie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kontrolerów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Narodowego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Zdrowia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37715951" w14:textId="2B4EC83A" w:rsidR="009D7AE1" w:rsidRPr="0052643B" w:rsidRDefault="00F650EC" w:rsidP="0052643B">
            <w:pPr>
              <w:numPr>
                <w:ilvl w:val="3"/>
                <w:numId w:val="2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zupełnianie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4552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4552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4552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4552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programów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4552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(SMPT)</w:t>
            </w:r>
            <w:r w:rsidR="00C14552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dostępnym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aplikacji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internetowej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udostępnionej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częstotliwością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zgodną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opisem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zakończenie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leczenia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127C423C" w14:textId="7CF7DA56" w:rsidR="009D7AE1" w:rsidRPr="0052643B" w:rsidRDefault="00F650EC" w:rsidP="0052643B">
            <w:pPr>
              <w:numPr>
                <w:ilvl w:val="3"/>
                <w:numId w:val="24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rzekazywanie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sprawozdawczo-rozliczeniowych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NFZ: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przekazuje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papierowej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elektronicznej,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opublikowanymi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AE1"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264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NFZ.</w:t>
            </w:r>
          </w:p>
          <w:p w14:paraId="4405A80D" w14:textId="77777777" w:rsidR="009D7AE1" w:rsidRPr="0052643B" w:rsidRDefault="009D7AE1" w:rsidP="0052643B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CF8CB3F" w14:textId="77777777" w:rsidR="00D41D26" w:rsidRDefault="00D41D26"/>
    <w:sectPr w:rsidR="00D41D26" w:rsidSect="00CB2AC0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ADE6" w14:textId="77777777" w:rsidR="00E73429" w:rsidRDefault="00E73429" w:rsidP="009D7AE1">
      <w:pPr>
        <w:spacing w:after="0" w:line="240" w:lineRule="auto"/>
      </w:pPr>
      <w:r>
        <w:separator/>
      </w:r>
    </w:p>
  </w:endnote>
  <w:endnote w:type="continuationSeparator" w:id="0">
    <w:p w14:paraId="7B85CB92" w14:textId="77777777" w:rsidR="00E73429" w:rsidRDefault="00E73429" w:rsidP="009D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8F16" w14:textId="77777777" w:rsidR="00E73429" w:rsidRDefault="00E73429" w:rsidP="009D7AE1">
      <w:pPr>
        <w:spacing w:after="0" w:line="240" w:lineRule="auto"/>
      </w:pPr>
      <w:r>
        <w:separator/>
      </w:r>
    </w:p>
  </w:footnote>
  <w:footnote w:type="continuationSeparator" w:id="0">
    <w:p w14:paraId="13C73C18" w14:textId="77777777" w:rsidR="00E73429" w:rsidRDefault="00E73429" w:rsidP="009D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41C6"/>
    <w:multiLevelType w:val="multilevel"/>
    <w:tmpl w:val="4560DF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A812393"/>
    <w:multiLevelType w:val="multilevel"/>
    <w:tmpl w:val="4560DF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0E8422D1"/>
    <w:multiLevelType w:val="multilevel"/>
    <w:tmpl w:val="4560DF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11A8124F"/>
    <w:multiLevelType w:val="multilevel"/>
    <w:tmpl w:val="9800E4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1CD82EEB"/>
    <w:multiLevelType w:val="multilevel"/>
    <w:tmpl w:val="50C8944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5" w15:restartNumberingAfterBreak="0">
    <w:nsid w:val="25F3174F"/>
    <w:multiLevelType w:val="hybridMultilevel"/>
    <w:tmpl w:val="D0C6FB6A"/>
    <w:lvl w:ilvl="0" w:tplc="14D8F9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DA2DB1"/>
    <w:multiLevelType w:val="hybridMultilevel"/>
    <w:tmpl w:val="7FC8A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348B6"/>
    <w:multiLevelType w:val="multilevel"/>
    <w:tmpl w:val="50C8944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8" w15:restartNumberingAfterBreak="0">
    <w:nsid w:val="2B1D2033"/>
    <w:multiLevelType w:val="multilevel"/>
    <w:tmpl w:val="960E2AC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2E7A4ADD"/>
    <w:multiLevelType w:val="multilevel"/>
    <w:tmpl w:val="84A404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0" w15:restartNumberingAfterBreak="0">
    <w:nsid w:val="31D20C20"/>
    <w:multiLevelType w:val="hybridMultilevel"/>
    <w:tmpl w:val="C9BCABE6"/>
    <w:lvl w:ilvl="0" w:tplc="14D8F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576CD"/>
    <w:multiLevelType w:val="multilevel"/>
    <w:tmpl w:val="4560DF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2" w15:restartNumberingAfterBreak="0">
    <w:nsid w:val="50B45157"/>
    <w:multiLevelType w:val="multilevel"/>
    <w:tmpl w:val="C5A28CC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3" w15:restartNumberingAfterBreak="0">
    <w:nsid w:val="52DF7958"/>
    <w:multiLevelType w:val="multilevel"/>
    <w:tmpl w:val="50C8944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4" w15:restartNumberingAfterBreak="0">
    <w:nsid w:val="531E6E39"/>
    <w:multiLevelType w:val="multilevel"/>
    <w:tmpl w:val="4560DF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5" w15:restartNumberingAfterBreak="0">
    <w:nsid w:val="5A1517D2"/>
    <w:multiLevelType w:val="multilevel"/>
    <w:tmpl w:val="9800E4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6" w15:restartNumberingAfterBreak="0">
    <w:nsid w:val="5B1447B7"/>
    <w:multiLevelType w:val="hybridMultilevel"/>
    <w:tmpl w:val="768677E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61362DB0"/>
    <w:multiLevelType w:val="hybridMultilevel"/>
    <w:tmpl w:val="F440E5E8"/>
    <w:lvl w:ilvl="0" w:tplc="14D8F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037B4"/>
    <w:multiLevelType w:val="multilevel"/>
    <w:tmpl w:val="4560DF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9" w15:restartNumberingAfterBreak="0">
    <w:nsid w:val="65E66933"/>
    <w:multiLevelType w:val="multilevel"/>
    <w:tmpl w:val="9800E4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0" w15:restartNumberingAfterBreak="0">
    <w:nsid w:val="6AB73EF6"/>
    <w:multiLevelType w:val="multilevel"/>
    <w:tmpl w:val="9800E4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1" w15:restartNumberingAfterBreak="0">
    <w:nsid w:val="6BBE2BB6"/>
    <w:multiLevelType w:val="multilevel"/>
    <w:tmpl w:val="50C8944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22" w15:restartNumberingAfterBreak="0">
    <w:nsid w:val="72FA2FB7"/>
    <w:multiLevelType w:val="hybridMultilevel"/>
    <w:tmpl w:val="01D81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F0723"/>
    <w:multiLevelType w:val="multilevel"/>
    <w:tmpl w:val="9800E4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 w16cid:durableId="1655523970">
    <w:abstractNumId w:val="0"/>
  </w:num>
  <w:num w:numId="2" w16cid:durableId="1090151962">
    <w:abstractNumId w:val="18"/>
  </w:num>
  <w:num w:numId="3" w16cid:durableId="994333008">
    <w:abstractNumId w:val="1"/>
  </w:num>
  <w:num w:numId="4" w16cid:durableId="1313825259">
    <w:abstractNumId w:val="2"/>
  </w:num>
  <w:num w:numId="5" w16cid:durableId="1399327778">
    <w:abstractNumId w:val="14"/>
  </w:num>
  <w:num w:numId="6" w16cid:durableId="639922633">
    <w:abstractNumId w:val="11"/>
  </w:num>
  <w:num w:numId="7" w16cid:durableId="817763480">
    <w:abstractNumId w:val="22"/>
  </w:num>
  <w:num w:numId="8" w16cid:durableId="1629163697">
    <w:abstractNumId w:val="10"/>
  </w:num>
  <w:num w:numId="9" w16cid:durableId="2085565041">
    <w:abstractNumId w:val="6"/>
  </w:num>
  <w:num w:numId="10" w16cid:durableId="1638949534">
    <w:abstractNumId w:val="8"/>
  </w:num>
  <w:num w:numId="11" w16cid:durableId="1508326741">
    <w:abstractNumId w:val="3"/>
  </w:num>
  <w:num w:numId="12" w16cid:durableId="1279918237">
    <w:abstractNumId w:val="20"/>
  </w:num>
  <w:num w:numId="13" w16cid:durableId="102264159">
    <w:abstractNumId w:val="19"/>
  </w:num>
  <w:num w:numId="14" w16cid:durableId="411976728">
    <w:abstractNumId w:val="15"/>
  </w:num>
  <w:num w:numId="15" w16cid:durableId="26613368">
    <w:abstractNumId w:val="23"/>
  </w:num>
  <w:num w:numId="16" w16cid:durableId="2001232530">
    <w:abstractNumId w:val="16"/>
  </w:num>
  <w:num w:numId="17" w16cid:durableId="900362568">
    <w:abstractNumId w:val="5"/>
  </w:num>
  <w:num w:numId="18" w16cid:durableId="295916124">
    <w:abstractNumId w:val="17"/>
  </w:num>
  <w:num w:numId="19" w16cid:durableId="1319306573">
    <w:abstractNumId w:val="4"/>
  </w:num>
  <w:num w:numId="20" w16cid:durableId="1971670436">
    <w:abstractNumId w:val="13"/>
  </w:num>
  <w:num w:numId="21" w16cid:durableId="791367999">
    <w:abstractNumId w:val="21"/>
  </w:num>
  <w:num w:numId="22" w16cid:durableId="1357578931">
    <w:abstractNumId w:val="9"/>
  </w:num>
  <w:num w:numId="23" w16cid:durableId="859971186">
    <w:abstractNumId w:val="7"/>
  </w:num>
  <w:num w:numId="24" w16cid:durableId="119538318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28"/>
    <w:rsid w:val="00000D86"/>
    <w:rsid w:val="000058E7"/>
    <w:rsid w:val="00013536"/>
    <w:rsid w:val="000161B7"/>
    <w:rsid w:val="000219B9"/>
    <w:rsid w:val="00024A28"/>
    <w:rsid w:val="00026AEE"/>
    <w:rsid w:val="00027398"/>
    <w:rsid w:val="000357FD"/>
    <w:rsid w:val="0004660E"/>
    <w:rsid w:val="00057286"/>
    <w:rsid w:val="00062A5E"/>
    <w:rsid w:val="00066C3F"/>
    <w:rsid w:val="000770C4"/>
    <w:rsid w:val="00087EB3"/>
    <w:rsid w:val="00096338"/>
    <w:rsid w:val="000A3E98"/>
    <w:rsid w:val="000A785E"/>
    <w:rsid w:val="000B0A18"/>
    <w:rsid w:val="000D78D7"/>
    <w:rsid w:val="000E4233"/>
    <w:rsid w:val="000F7868"/>
    <w:rsid w:val="00142A03"/>
    <w:rsid w:val="00161A61"/>
    <w:rsid w:val="00165F2C"/>
    <w:rsid w:val="001A1A24"/>
    <w:rsid w:val="001A6924"/>
    <w:rsid w:val="001B1928"/>
    <w:rsid w:val="001F28D2"/>
    <w:rsid w:val="001F56D8"/>
    <w:rsid w:val="00204A53"/>
    <w:rsid w:val="00210416"/>
    <w:rsid w:val="0021270D"/>
    <w:rsid w:val="002140C4"/>
    <w:rsid w:val="00226BBD"/>
    <w:rsid w:val="0024099B"/>
    <w:rsid w:val="00247678"/>
    <w:rsid w:val="00251138"/>
    <w:rsid w:val="002550C4"/>
    <w:rsid w:val="00261A82"/>
    <w:rsid w:val="002663F3"/>
    <w:rsid w:val="00296619"/>
    <w:rsid w:val="002A0280"/>
    <w:rsid w:val="002A4AF0"/>
    <w:rsid w:val="002B253E"/>
    <w:rsid w:val="002C28DF"/>
    <w:rsid w:val="002F4704"/>
    <w:rsid w:val="002F4B92"/>
    <w:rsid w:val="00322658"/>
    <w:rsid w:val="003373F6"/>
    <w:rsid w:val="00344BD2"/>
    <w:rsid w:val="00350537"/>
    <w:rsid w:val="00353076"/>
    <w:rsid w:val="00357466"/>
    <w:rsid w:val="00367F48"/>
    <w:rsid w:val="00370A55"/>
    <w:rsid w:val="00370FD1"/>
    <w:rsid w:val="00390D64"/>
    <w:rsid w:val="003915A1"/>
    <w:rsid w:val="003A2ADC"/>
    <w:rsid w:val="003B636C"/>
    <w:rsid w:val="003D7E27"/>
    <w:rsid w:val="003E5655"/>
    <w:rsid w:val="003F40C9"/>
    <w:rsid w:val="004038D2"/>
    <w:rsid w:val="00405FB5"/>
    <w:rsid w:val="004144A9"/>
    <w:rsid w:val="00417414"/>
    <w:rsid w:val="0043742A"/>
    <w:rsid w:val="00437CEE"/>
    <w:rsid w:val="00462B7E"/>
    <w:rsid w:val="0048212E"/>
    <w:rsid w:val="004A101F"/>
    <w:rsid w:val="004A5FF5"/>
    <w:rsid w:val="004C0083"/>
    <w:rsid w:val="004D2016"/>
    <w:rsid w:val="004E4524"/>
    <w:rsid w:val="0051058B"/>
    <w:rsid w:val="00524C3B"/>
    <w:rsid w:val="0052643B"/>
    <w:rsid w:val="00543F74"/>
    <w:rsid w:val="005441A9"/>
    <w:rsid w:val="00556656"/>
    <w:rsid w:val="00580569"/>
    <w:rsid w:val="0058794E"/>
    <w:rsid w:val="005B4D28"/>
    <w:rsid w:val="005E1332"/>
    <w:rsid w:val="0062454F"/>
    <w:rsid w:val="00654BCF"/>
    <w:rsid w:val="00664775"/>
    <w:rsid w:val="00670191"/>
    <w:rsid w:val="0068170D"/>
    <w:rsid w:val="006A7CEE"/>
    <w:rsid w:val="006C0F6A"/>
    <w:rsid w:val="006C2ABD"/>
    <w:rsid w:val="006D087B"/>
    <w:rsid w:val="007050E5"/>
    <w:rsid w:val="00732CF6"/>
    <w:rsid w:val="00795C23"/>
    <w:rsid w:val="00797D42"/>
    <w:rsid w:val="007F17F1"/>
    <w:rsid w:val="007F49A5"/>
    <w:rsid w:val="008163E9"/>
    <w:rsid w:val="00823F41"/>
    <w:rsid w:val="008245AD"/>
    <w:rsid w:val="008325C5"/>
    <w:rsid w:val="008444A0"/>
    <w:rsid w:val="00875174"/>
    <w:rsid w:val="00892EB0"/>
    <w:rsid w:val="008939D6"/>
    <w:rsid w:val="008A07B8"/>
    <w:rsid w:val="008A20BD"/>
    <w:rsid w:val="008C0EA1"/>
    <w:rsid w:val="008C15AD"/>
    <w:rsid w:val="008C1C3E"/>
    <w:rsid w:val="008D1B73"/>
    <w:rsid w:val="008D3B38"/>
    <w:rsid w:val="008D4966"/>
    <w:rsid w:val="008F3740"/>
    <w:rsid w:val="00933C37"/>
    <w:rsid w:val="00937C9C"/>
    <w:rsid w:val="00942CD3"/>
    <w:rsid w:val="00946409"/>
    <w:rsid w:val="00947B80"/>
    <w:rsid w:val="00947D88"/>
    <w:rsid w:val="00966003"/>
    <w:rsid w:val="00970FF7"/>
    <w:rsid w:val="009807A4"/>
    <w:rsid w:val="0098464F"/>
    <w:rsid w:val="00984813"/>
    <w:rsid w:val="00985BEF"/>
    <w:rsid w:val="009905F1"/>
    <w:rsid w:val="009C745B"/>
    <w:rsid w:val="009D2AF5"/>
    <w:rsid w:val="009D7AE1"/>
    <w:rsid w:val="009E4F75"/>
    <w:rsid w:val="00A0131A"/>
    <w:rsid w:val="00A078B7"/>
    <w:rsid w:val="00A1439C"/>
    <w:rsid w:val="00A15999"/>
    <w:rsid w:val="00A30C1C"/>
    <w:rsid w:val="00A36956"/>
    <w:rsid w:val="00A36FED"/>
    <w:rsid w:val="00A56095"/>
    <w:rsid w:val="00A73D51"/>
    <w:rsid w:val="00A857A0"/>
    <w:rsid w:val="00A9000F"/>
    <w:rsid w:val="00A93F06"/>
    <w:rsid w:val="00AC25A8"/>
    <w:rsid w:val="00AF4063"/>
    <w:rsid w:val="00AF4C87"/>
    <w:rsid w:val="00B27143"/>
    <w:rsid w:val="00B37612"/>
    <w:rsid w:val="00B42909"/>
    <w:rsid w:val="00B53643"/>
    <w:rsid w:val="00B57721"/>
    <w:rsid w:val="00B701AB"/>
    <w:rsid w:val="00B817E6"/>
    <w:rsid w:val="00B85345"/>
    <w:rsid w:val="00B96557"/>
    <w:rsid w:val="00BC4FFC"/>
    <w:rsid w:val="00BD5DA4"/>
    <w:rsid w:val="00BD79BD"/>
    <w:rsid w:val="00BE41F7"/>
    <w:rsid w:val="00C10F7E"/>
    <w:rsid w:val="00C134CF"/>
    <w:rsid w:val="00C14552"/>
    <w:rsid w:val="00C15816"/>
    <w:rsid w:val="00C172F3"/>
    <w:rsid w:val="00C20548"/>
    <w:rsid w:val="00C247D7"/>
    <w:rsid w:val="00C32E4B"/>
    <w:rsid w:val="00C75EA1"/>
    <w:rsid w:val="00C96913"/>
    <w:rsid w:val="00CA7FFE"/>
    <w:rsid w:val="00CB0468"/>
    <w:rsid w:val="00CB2AC0"/>
    <w:rsid w:val="00CB2BED"/>
    <w:rsid w:val="00CC1E78"/>
    <w:rsid w:val="00CC2624"/>
    <w:rsid w:val="00D061B9"/>
    <w:rsid w:val="00D130F0"/>
    <w:rsid w:val="00D249CC"/>
    <w:rsid w:val="00D41D26"/>
    <w:rsid w:val="00D423E2"/>
    <w:rsid w:val="00D43FFC"/>
    <w:rsid w:val="00D443F5"/>
    <w:rsid w:val="00D50502"/>
    <w:rsid w:val="00D54488"/>
    <w:rsid w:val="00D65BA7"/>
    <w:rsid w:val="00D76175"/>
    <w:rsid w:val="00D84FFB"/>
    <w:rsid w:val="00D95D33"/>
    <w:rsid w:val="00DB0E9C"/>
    <w:rsid w:val="00DB19BC"/>
    <w:rsid w:val="00DE0F1A"/>
    <w:rsid w:val="00DF228D"/>
    <w:rsid w:val="00DF47D9"/>
    <w:rsid w:val="00E04BA2"/>
    <w:rsid w:val="00E233C5"/>
    <w:rsid w:val="00E46108"/>
    <w:rsid w:val="00E4719C"/>
    <w:rsid w:val="00E5726E"/>
    <w:rsid w:val="00E64E8D"/>
    <w:rsid w:val="00E657CE"/>
    <w:rsid w:val="00E71C43"/>
    <w:rsid w:val="00E73429"/>
    <w:rsid w:val="00E928F6"/>
    <w:rsid w:val="00E930A7"/>
    <w:rsid w:val="00EA6B9A"/>
    <w:rsid w:val="00ED6B72"/>
    <w:rsid w:val="00F02D07"/>
    <w:rsid w:val="00F16A59"/>
    <w:rsid w:val="00F37E0B"/>
    <w:rsid w:val="00F438BE"/>
    <w:rsid w:val="00F569AE"/>
    <w:rsid w:val="00F630E3"/>
    <w:rsid w:val="00F650EC"/>
    <w:rsid w:val="00F907C9"/>
    <w:rsid w:val="00F924F7"/>
    <w:rsid w:val="00F943A7"/>
    <w:rsid w:val="00FA0590"/>
    <w:rsid w:val="00FC70C1"/>
    <w:rsid w:val="00FD2A37"/>
    <w:rsid w:val="00FE3490"/>
    <w:rsid w:val="00FF0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BABE"/>
  <w15:docId w15:val="{D7CEFEC3-99B5-4F45-B621-DF3AE844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AE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D7A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AE1"/>
  </w:style>
  <w:style w:type="paragraph" w:styleId="Akapitzlist">
    <w:name w:val="List Paragraph"/>
    <w:basedOn w:val="Normalny"/>
    <w:uiPriority w:val="34"/>
    <w:qFormat/>
    <w:rsid w:val="008939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70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56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56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6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75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3102-9ECC-4DAD-BBD3-662CCBF6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18</Pages>
  <Words>5051</Words>
  <Characters>30309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Żmuda Katarzyna</dc:creator>
  <cp:lastModifiedBy>Królak-Buzakowska Joanna</cp:lastModifiedBy>
  <cp:revision>4</cp:revision>
  <dcterms:created xsi:type="dcterms:W3CDTF">2022-05-31T08:03:00Z</dcterms:created>
  <dcterms:modified xsi:type="dcterms:W3CDTF">2022-05-31T10:05:00Z</dcterms:modified>
</cp:coreProperties>
</file>